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highlight w:val="none"/>
        </w:rPr>
      </w:pPr>
      <w:r>
        <w:rPr>
          <w:rFonts w:hint="eastAsia" w:ascii="方正小标宋简体" w:eastAsia="方正小标宋简体"/>
          <w:sz w:val="44"/>
          <w:highlight w:val="none"/>
        </w:rPr>
        <w:t>广西建设职业技术学院2021年部门预算公开</w:t>
      </w:r>
    </w:p>
    <w:p>
      <w:pPr>
        <w:adjustRightInd w:val="0"/>
        <w:snapToGrid w:val="0"/>
        <w:spacing w:line="600" w:lineRule="exact"/>
        <w:ind w:right="-218" w:rightChars="-104"/>
        <w:rPr>
          <w:rFonts w:ascii="方正小标宋简体" w:eastAsia="方正小标宋简体"/>
          <w:sz w:val="44"/>
          <w:highlight w:val="none"/>
        </w:rPr>
      </w:pPr>
    </w:p>
    <w:p>
      <w:pPr>
        <w:adjustRightInd w:val="0"/>
        <w:snapToGrid w:val="0"/>
        <w:spacing w:line="600" w:lineRule="exact"/>
        <w:ind w:right="-218" w:rightChars="-104"/>
        <w:rPr>
          <w:rFonts w:ascii="仿宋_GB2312"/>
          <w:sz w:val="32"/>
          <w:highlight w:val="none"/>
        </w:rPr>
      </w:pPr>
    </w:p>
    <w:p>
      <w:pPr>
        <w:adjustRightInd w:val="0"/>
        <w:snapToGrid w:val="0"/>
        <w:spacing w:line="600" w:lineRule="exact"/>
        <w:ind w:right="-218" w:rightChars="-104"/>
        <w:jc w:val="center"/>
        <w:rPr>
          <w:rFonts w:ascii="黑体" w:hAnsi="宋体" w:eastAsia="黑体"/>
          <w:sz w:val="32"/>
          <w:highlight w:val="none"/>
        </w:rPr>
      </w:pPr>
      <w:r>
        <w:rPr>
          <w:rFonts w:hint="eastAsia" w:ascii="黑体" w:hAnsi="宋体" w:eastAsia="黑体"/>
          <w:sz w:val="32"/>
          <w:highlight w:val="none"/>
        </w:rPr>
        <w:t>目  录</w:t>
      </w:r>
    </w:p>
    <w:p>
      <w:pPr>
        <w:adjustRightInd w:val="0"/>
        <w:snapToGrid w:val="0"/>
        <w:spacing w:line="600" w:lineRule="exact"/>
        <w:ind w:right="-218" w:rightChars="-104"/>
        <w:jc w:val="center"/>
        <w:rPr>
          <w:rFonts w:ascii="黑体" w:hAnsi="宋体" w:eastAsia="黑体"/>
          <w:sz w:val="32"/>
          <w:highlight w:val="none"/>
        </w:rPr>
      </w:pPr>
    </w:p>
    <w:p>
      <w:pPr>
        <w:adjustRightInd w:val="0"/>
        <w:snapToGrid w:val="0"/>
        <w:spacing w:line="600" w:lineRule="exact"/>
        <w:ind w:right="-218" w:rightChars="-104" w:firstLine="640" w:firstLineChars="200"/>
        <w:rPr>
          <w:rFonts w:ascii="黑体" w:hAnsi="宋体" w:eastAsia="黑体"/>
          <w:sz w:val="32"/>
          <w:highlight w:val="none"/>
        </w:rPr>
      </w:pPr>
      <w:r>
        <w:rPr>
          <w:rFonts w:hint="eastAsia" w:ascii="黑体" w:hAnsi="宋体" w:eastAsia="黑体"/>
          <w:sz w:val="32"/>
          <w:highlight w:val="none"/>
        </w:rPr>
        <w:t>第一部分：部门概况</w:t>
      </w:r>
    </w:p>
    <w:p>
      <w:pPr>
        <w:adjustRightInd w:val="0"/>
        <w:snapToGrid w:val="0"/>
        <w:spacing w:line="600" w:lineRule="exact"/>
        <w:ind w:right="-218" w:rightChars="-104" w:firstLine="640" w:firstLineChars="200"/>
        <w:rPr>
          <w:rFonts w:hint="eastAsia" w:ascii="宋体" w:hAnsi="宋体" w:eastAsia="宋体" w:cs="宋体"/>
          <w:sz w:val="32"/>
          <w:highlight w:val="none"/>
        </w:rPr>
      </w:pPr>
      <w:r>
        <w:rPr>
          <w:rFonts w:hint="eastAsia" w:ascii="宋体" w:hAnsi="宋体" w:eastAsia="宋体" w:cs="宋体"/>
          <w:sz w:val="32"/>
          <w:highlight w:val="none"/>
        </w:rPr>
        <w:t>一、主要职能</w:t>
      </w:r>
      <w:bookmarkStart w:id="0" w:name="_GoBack"/>
      <w:bookmarkEnd w:id="0"/>
    </w:p>
    <w:p>
      <w:pPr>
        <w:adjustRightInd w:val="0"/>
        <w:snapToGrid w:val="0"/>
        <w:spacing w:line="600" w:lineRule="exact"/>
        <w:ind w:right="-218" w:rightChars="-104" w:firstLine="640" w:firstLineChars="200"/>
        <w:rPr>
          <w:rFonts w:hint="eastAsia" w:ascii="宋体" w:hAnsi="宋体" w:eastAsia="宋体" w:cs="宋体"/>
          <w:sz w:val="32"/>
          <w:highlight w:val="none"/>
        </w:rPr>
      </w:pPr>
      <w:r>
        <w:rPr>
          <w:rFonts w:hint="eastAsia" w:ascii="宋体" w:hAnsi="宋体" w:eastAsia="宋体" w:cs="宋体"/>
          <w:sz w:val="32"/>
          <w:highlight w:val="none"/>
        </w:rPr>
        <w:t>二、机构设置情况</w:t>
      </w:r>
    </w:p>
    <w:p>
      <w:pPr>
        <w:adjustRightInd w:val="0"/>
        <w:snapToGrid w:val="0"/>
        <w:spacing w:line="600" w:lineRule="exact"/>
        <w:ind w:right="-218" w:rightChars="-104" w:firstLine="640" w:firstLineChars="200"/>
        <w:rPr>
          <w:rFonts w:ascii="黑体" w:hAnsi="宋体" w:eastAsia="黑体"/>
          <w:sz w:val="32"/>
          <w:highlight w:val="none"/>
        </w:rPr>
      </w:pPr>
    </w:p>
    <w:p>
      <w:pPr>
        <w:adjustRightInd w:val="0"/>
        <w:snapToGrid w:val="0"/>
        <w:spacing w:line="600" w:lineRule="exact"/>
        <w:ind w:right="-218" w:rightChars="-104" w:firstLine="640"/>
        <w:rPr>
          <w:rFonts w:ascii="仿宋_GB2312" w:hAnsi="宋体"/>
          <w:sz w:val="32"/>
          <w:highlight w:val="none"/>
        </w:rPr>
      </w:pPr>
      <w:r>
        <w:rPr>
          <w:rFonts w:hint="eastAsia" w:ascii="黑体" w:hAnsi="宋体" w:eastAsia="黑体"/>
          <w:sz w:val="32"/>
          <w:highlight w:val="none"/>
        </w:rPr>
        <w:t>第二部分：广西建设职业技术学院2021</w:t>
      </w:r>
      <w:r>
        <w:rPr>
          <w:rFonts w:hint="eastAsia" w:ascii="黑体" w:eastAsia="黑体"/>
          <w:sz w:val="32"/>
          <w:highlight w:val="none"/>
        </w:rPr>
        <w:t>年部门预算情况说明</w:t>
      </w:r>
    </w:p>
    <w:p>
      <w:pPr>
        <w:adjustRightInd w:val="0"/>
        <w:snapToGrid w:val="0"/>
        <w:spacing w:line="600" w:lineRule="exact"/>
        <w:ind w:right="-218" w:rightChars="-104" w:firstLine="640" w:firstLineChars="200"/>
        <w:rPr>
          <w:rFonts w:ascii="黑体" w:hAnsi="宋体" w:eastAsia="黑体"/>
          <w:sz w:val="32"/>
          <w:highlight w:val="none"/>
        </w:rPr>
      </w:pPr>
    </w:p>
    <w:p>
      <w:pPr>
        <w:adjustRightInd w:val="0"/>
        <w:snapToGrid w:val="0"/>
        <w:spacing w:line="600" w:lineRule="exact"/>
        <w:ind w:right="-218" w:rightChars="-104" w:firstLine="640" w:firstLineChars="200"/>
        <w:rPr>
          <w:rFonts w:ascii="黑体" w:hAnsi="宋体" w:eastAsia="黑体"/>
          <w:sz w:val="32"/>
          <w:highlight w:val="none"/>
        </w:rPr>
      </w:pPr>
      <w:r>
        <w:rPr>
          <w:rFonts w:hint="eastAsia" w:ascii="黑体" w:eastAsia="黑体"/>
          <w:sz w:val="32"/>
          <w:highlight w:val="none"/>
        </w:rPr>
        <w:t>第三部分：名词解释</w:t>
      </w:r>
    </w:p>
    <w:p>
      <w:pPr>
        <w:adjustRightInd w:val="0"/>
        <w:snapToGrid w:val="0"/>
        <w:spacing w:line="600" w:lineRule="exact"/>
        <w:ind w:right="-218" w:rightChars="-104" w:firstLine="640" w:firstLineChars="200"/>
        <w:rPr>
          <w:rFonts w:ascii="黑体" w:hAnsi="宋体" w:eastAsia="黑体"/>
          <w:sz w:val="32"/>
          <w:highlight w:val="none"/>
        </w:rPr>
      </w:pPr>
    </w:p>
    <w:p>
      <w:pPr>
        <w:widowControl/>
        <w:spacing w:line="600" w:lineRule="exact"/>
        <w:ind w:firstLine="640" w:firstLineChars="200"/>
        <w:jc w:val="left"/>
        <w:rPr>
          <w:rFonts w:ascii="黑体" w:hAnsi="宋体" w:eastAsia="黑体"/>
          <w:sz w:val="32"/>
          <w:highlight w:val="none"/>
        </w:rPr>
      </w:pPr>
      <w:r>
        <w:rPr>
          <w:rFonts w:hint="eastAsia" w:ascii="黑体" w:eastAsia="黑体"/>
          <w:sz w:val="32"/>
          <w:highlight w:val="none"/>
        </w:rPr>
        <w:t>第四部分：广西建设职业技术学院</w:t>
      </w:r>
      <w:r>
        <w:rPr>
          <w:rFonts w:hint="eastAsia" w:ascii="黑体" w:hAnsi="宋体" w:eastAsia="黑体"/>
          <w:sz w:val="32"/>
          <w:highlight w:val="none"/>
        </w:rPr>
        <w:t>2021年部门预算报表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一、部门收支总体情况表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二、部门收入总体情况表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三、部门支出总体情况表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四、财政拨款收支总体情况表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五、一般公共预算支出情况表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六、一般公共预算基本支出情况表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七、一般公共预算“三公”经费支出情况表</w:t>
      </w:r>
    </w:p>
    <w:p>
      <w:pPr>
        <w:widowControl/>
        <w:spacing w:line="600" w:lineRule="exact"/>
        <w:ind w:firstLine="640" w:firstLineChars="200"/>
        <w:jc w:val="left"/>
        <w:rPr>
          <w:rFonts w:ascii="仿宋_GB2312" w:hAnsi="宋体"/>
          <w:sz w:val="32"/>
          <w:highlight w:val="none"/>
        </w:rPr>
      </w:pPr>
      <w:r>
        <w:rPr>
          <w:rFonts w:hint="eastAsia" w:ascii="仿宋_GB2312" w:hAnsi="宋体"/>
          <w:sz w:val="32"/>
          <w:highlight w:val="none"/>
        </w:rPr>
        <w:t>八、政府性基金预算支出情况表</w:t>
      </w:r>
    </w:p>
    <w:p>
      <w:pPr>
        <w:widowControl/>
        <w:spacing w:line="600" w:lineRule="exact"/>
        <w:ind w:firstLine="643" w:firstLineChars="200"/>
        <w:jc w:val="left"/>
        <w:rPr>
          <w:rFonts w:ascii="宋体" w:hAnsi="宋体" w:eastAsia="宋体" w:cs="宋体"/>
          <w:kern w:val="0"/>
          <w:sz w:val="24"/>
          <w:szCs w:val="24"/>
          <w:highlight w:val="none"/>
        </w:rPr>
      </w:pPr>
      <w:r>
        <w:rPr>
          <w:rFonts w:hint="eastAsia" w:ascii="黑体" w:hAnsi="黑体" w:eastAsia="黑体" w:cs="宋体"/>
          <w:b/>
          <w:bCs/>
          <w:kern w:val="0"/>
          <w:sz w:val="32"/>
          <w:szCs w:val="32"/>
          <w:highlight w:val="none"/>
        </w:rPr>
        <w:t>第一部分：部门概况</w:t>
      </w:r>
    </w:p>
    <w:p>
      <w:pPr>
        <w:spacing w:line="600" w:lineRule="exact"/>
        <w:ind w:firstLine="640" w:firstLineChars="200"/>
        <w:rPr>
          <w:rFonts w:ascii="宋体" w:hAnsi="宋体"/>
          <w:b/>
          <w:sz w:val="32"/>
          <w:szCs w:val="32"/>
          <w:highlight w:val="none"/>
        </w:rPr>
      </w:pPr>
      <w:r>
        <w:rPr>
          <w:rFonts w:hint="eastAsia" w:ascii="黑体" w:hAnsi="黑体" w:eastAsia="黑体" w:cs="黑体"/>
          <w:bCs/>
          <w:sz w:val="32"/>
          <w:szCs w:val="32"/>
          <w:highlight w:val="none"/>
        </w:rPr>
        <w:t>一、主要职能</w:t>
      </w:r>
    </w:p>
    <w:p>
      <w:pPr>
        <w:spacing w:line="600" w:lineRule="exact"/>
        <w:ind w:firstLine="640" w:firstLineChars="200"/>
        <w:rPr>
          <w:rFonts w:hint="eastAsia" w:ascii="宋体" w:hAnsi="宋体" w:eastAsiaTheme="minorEastAsia"/>
          <w:sz w:val="32"/>
          <w:szCs w:val="32"/>
          <w:highlight w:val="none"/>
          <w:lang w:eastAsia="zh-CN"/>
        </w:rPr>
      </w:pPr>
      <w:r>
        <w:rPr>
          <w:rFonts w:hint="eastAsia" w:ascii="宋体" w:hAnsi="宋体"/>
          <w:sz w:val="32"/>
          <w:szCs w:val="32"/>
          <w:highlight w:val="none"/>
        </w:rPr>
        <w:t>广西建设职业技术学院（以下简称学校）是由广西壮族自治区人民政府举办的建设类公办高等职业技术学院。学校行政主管部门是广西壮族自治区住房和城乡建设厅，教育教学业务接受广西壮族自治区教育厅的指导和管理</w:t>
      </w:r>
      <w:r>
        <w:rPr>
          <w:rFonts w:hint="eastAsia" w:ascii="宋体" w:hAnsi="宋体"/>
          <w:sz w:val="32"/>
          <w:szCs w:val="32"/>
          <w:highlight w:val="none"/>
          <w:lang w:eastAsia="zh-CN"/>
        </w:rPr>
        <w:t>，</w:t>
      </w:r>
      <w:r>
        <w:rPr>
          <w:rFonts w:hint="eastAsia" w:ascii="宋体" w:hAnsi="宋体"/>
          <w:sz w:val="32"/>
          <w:szCs w:val="32"/>
          <w:highlight w:val="none"/>
        </w:rPr>
        <w:t>是一所立足广西、面向全国招生的全日制普通高职学院</w:t>
      </w:r>
      <w:r>
        <w:rPr>
          <w:rFonts w:hint="eastAsia" w:ascii="宋体" w:hAnsi="宋体"/>
          <w:sz w:val="32"/>
          <w:szCs w:val="32"/>
          <w:highlight w:val="none"/>
          <w:lang w:eastAsia="zh-CN"/>
        </w:rPr>
        <w:t>。</w:t>
      </w:r>
      <w:r>
        <w:rPr>
          <w:rFonts w:hint="eastAsia" w:ascii="宋体" w:hAnsi="宋体"/>
          <w:sz w:val="32"/>
          <w:szCs w:val="32"/>
          <w:highlight w:val="none"/>
        </w:rPr>
        <w:t>开展以全日制大学专科层次为主、成人 学历教育和职业技能培训为辅的多层次高等职业教育活动，培养 生产、建设、管理、服务一线所需的高素质技术技能型人才</w:t>
      </w:r>
      <w:r>
        <w:rPr>
          <w:rFonts w:hint="eastAsia" w:ascii="宋体" w:hAnsi="宋体"/>
          <w:sz w:val="32"/>
          <w:szCs w:val="32"/>
          <w:highlight w:val="none"/>
          <w:lang w:eastAsia="zh-CN"/>
        </w:rPr>
        <w:t>。</w:t>
      </w:r>
    </w:p>
    <w:p>
      <w:pPr>
        <w:spacing w:line="600" w:lineRule="exact"/>
        <w:ind w:firstLine="640" w:firstLineChars="200"/>
        <w:rPr>
          <w:rFonts w:ascii="宋体" w:hAnsi="宋体"/>
          <w:b/>
          <w:sz w:val="32"/>
          <w:szCs w:val="32"/>
          <w:highlight w:val="none"/>
        </w:rPr>
      </w:pPr>
      <w:r>
        <w:rPr>
          <w:rFonts w:hint="eastAsia" w:ascii="黑体" w:hAnsi="黑体" w:eastAsia="黑体" w:cs="黑体"/>
          <w:bCs/>
          <w:sz w:val="32"/>
          <w:szCs w:val="32"/>
          <w:highlight w:val="none"/>
        </w:rPr>
        <w:t>二、学校机构设置情况</w:t>
      </w:r>
    </w:p>
    <w:p>
      <w:pPr>
        <w:spacing w:line="600" w:lineRule="exact"/>
        <w:ind w:firstLine="640" w:firstLineChars="200"/>
        <w:rPr>
          <w:rFonts w:hint="eastAsia" w:ascii="宋体" w:hAnsi="宋体" w:eastAsiaTheme="minorEastAsia"/>
          <w:sz w:val="32"/>
          <w:szCs w:val="32"/>
          <w:highlight w:val="yellow"/>
          <w:lang w:eastAsia="zh-CN"/>
        </w:rPr>
      </w:pPr>
      <w:r>
        <w:rPr>
          <w:rFonts w:hint="eastAsia" w:ascii="宋体" w:hAnsi="宋体"/>
          <w:sz w:val="32"/>
          <w:szCs w:val="32"/>
          <w:highlight w:val="none"/>
        </w:rPr>
        <w:t>学校基本性质为全额拨款事业单位，机构数1个，</w:t>
      </w:r>
      <w:r>
        <w:rPr>
          <w:rFonts w:hint="eastAsia" w:ascii="宋体" w:hAnsi="宋体"/>
          <w:sz w:val="32"/>
          <w:szCs w:val="32"/>
          <w:highlight w:val="none"/>
          <w:lang w:eastAsia="zh-CN"/>
        </w:rPr>
        <w:t>学校</w:t>
      </w:r>
      <w:r>
        <w:rPr>
          <w:rFonts w:hint="eastAsia" w:ascii="宋体" w:hAnsi="宋体"/>
          <w:sz w:val="32"/>
          <w:szCs w:val="32"/>
          <w:highlight w:val="none"/>
        </w:rPr>
        <w:t>内设机构总数2</w:t>
      </w:r>
      <w:r>
        <w:rPr>
          <w:rFonts w:hint="eastAsia" w:ascii="宋体" w:hAnsi="宋体"/>
          <w:sz w:val="32"/>
          <w:szCs w:val="32"/>
          <w:highlight w:val="none"/>
          <w:lang w:val="en-US" w:eastAsia="zh-CN"/>
        </w:rPr>
        <w:t>7</w:t>
      </w:r>
      <w:r>
        <w:rPr>
          <w:rFonts w:hint="eastAsia" w:ascii="宋体" w:hAnsi="宋体"/>
          <w:sz w:val="32"/>
          <w:szCs w:val="32"/>
          <w:highlight w:val="none"/>
        </w:rPr>
        <w:t>个</w:t>
      </w:r>
      <w:r>
        <w:rPr>
          <w:rFonts w:hint="eastAsia" w:ascii="宋体" w:hAnsi="宋体"/>
          <w:sz w:val="32"/>
          <w:szCs w:val="32"/>
          <w:highlight w:val="none"/>
          <w:lang w:eastAsia="zh-CN"/>
        </w:rPr>
        <w:t>。</w:t>
      </w:r>
      <w:r>
        <w:rPr>
          <w:rFonts w:hint="eastAsia" w:ascii="宋体" w:hAnsi="宋体"/>
          <w:sz w:val="32"/>
          <w:szCs w:val="32"/>
          <w:highlight w:val="none"/>
        </w:rPr>
        <w:t>包括党务和学校行政事务管理机构</w:t>
      </w:r>
      <w:r>
        <w:rPr>
          <w:rFonts w:hint="eastAsia" w:ascii="宋体" w:hAnsi="宋体"/>
          <w:sz w:val="32"/>
          <w:szCs w:val="32"/>
          <w:highlight w:val="none"/>
          <w:lang w:val="en-US" w:eastAsia="zh-CN"/>
        </w:rPr>
        <w:t>10</w:t>
      </w:r>
      <w:r>
        <w:rPr>
          <w:rFonts w:hint="eastAsia" w:ascii="宋体" w:hAnsi="宋体"/>
          <w:sz w:val="32"/>
          <w:szCs w:val="32"/>
          <w:highlight w:val="none"/>
        </w:rPr>
        <w:t>个</w:t>
      </w:r>
      <w:r>
        <w:rPr>
          <w:rFonts w:hint="eastAsia" w:ascii="宋体" w:hAnsi="宋体"/>
          <w:sz w:val="32"/>
          <w:szCs w:val="32"/>
          <w:highlight w:val="none"/>
          <w:lang w:eastAsia="zh-CN"/>
        </w:rPr>
        <w:t>：</w:t>
      </w:r>
      <w:r>
        <w:rPr>
          <w:rFonts w:hint="eastAsia" w:ascii="宋体" w:hAnsi="宋体"/>
          <w:sz w:val="32"/>
          <w:szCs w:val="32"/>
          <w:highlight w:val="none"/>
        </w:rPr>
        <w:t>党委办公室（学院办公室、政策研究室）</w:t>
      </w:r>
      <w:r>
        <w:rPr>
          <w:rFonts w:hint="eastAsia" w:ascii="宋体" w:hAnsi="宋体"/>
          <w:sz w:val="32"/>
          <w:szCs w:val="32"/>
          <w:highlight w:val="none"/>
          <w:lang w:eastAsia="zh-CN"/>
        </w:rPr>
        <w:t>、党委组织部（学院人事处、教师发展中心、职称改革办公室）、党委宣传部（党委统战部）、教务科研处、党委学生工作部（学生工作处、党委武装部）、后勤管理处（安全保卫处）、招生就业处（就业创业指导中心、校企合作办公室）、财务处、质量管理办公室（督导办公室、信息中心）、基建处；</w:t>
      </w:r>
      <w:r>
        <w:rPr>
          <w:rFonts w:hint="eastAsia" w:ascii="宋体" w:hAnsi="宋体"/>
          <w:sz w:val="32"/>
          <w:szCs w:val="32"/>
          <w:highlight w:val="none"/>
        </w:rPr>
        <w:t>教学、教辅科研机构 1</w:t>
      </w:r>
      <w:r>
        <w:rPr>
          <w:rFonts w:hint="eastAsia" w:ascii="宋体" w:hAnsi="宋体"/>
          <w:sz w:val="32"/>
          <w:szCs w:val="32"/>
          <w:highlight w:val="none"/>
          <w:lang w:val="en-US" w:eastAsia="zh-CN"/>
        </w:rPr>
        <w:t>3</w:t>
      </w:r>
      <w:r>
        <w:rPr>
          <w:rFonts w:hint="eastAsia" w:ascii="宋体" w:hAnsi="宋体"/>
          <w:sz w:val="32"/>
          <w:szCs w:val="32"/>
          <w:highlight w:val="none"/>
        </w:rPr>
        <w:t xml:space="preserve"> 个</w:t>
      </w:r>
      <w:r>
        <w:rPr>
          <w:rFonts w:hint="eastAsia" w:ascii="宋体" w:hAnsi="宋体"/>
          <w:sz w:val="32"/>
          <w:szCs w:val="32"/>
          <w:highlight w:val="none"/>
          <w:lang w:eastAsia="zh-CN"/>
        </w:rPr>
        <w:t>：土木工程系、建筑与规划系、艺术设计系、管理工程系、城市建设与交通工程系、建筑设备与环境工程系、信息工程系、公共基础部、马克思主义学院、图书馆、继续教育中心、实习训练中心、学院建筑勘察设计院；</w:t>
      </w:r>
      <w:r>
        <w:rPr>
          <w:rFonts w:hint="eastAsia" w:ascii="宋体" w:hAnsi="宋体"/>
          <w:sz w:val="32"/>
          <w:szCs w:val="32"/>
          <w:highlight w:val="none"/>
        </w:rPr>
        <w:t>以及纪检监察室、审计办公室、团委、工会（离退休人员办公室、妇女工作委员会）机构 4 个</w:t>
      </w:r>
      <w:r>
        <w:rPr>
          <w:rFonts w:hint="eastAsia" w:ascii="宋体" w:hAnsi="宋体"/>
          <w:sz w:val="32"/>
          <w:szCs w:val="32"/>
          <w:highlight w:val="none"/>
          <w:lang w:eastAsia="zh-CN"/>
        </w:rPr>
        <w:t>。</w:t>
      </w:r>
    </w:p>
    <w:p>
      <w:pPr>
        <w:adjustRightInd w:val="0"/>
        <w:snapToGrid w:val="0"/>
        <w:spacing w:line="600" w:lineRule="exact"/>
        <w:ind w:right="-218" w:rightChars="-104" w:firstLine="643" w:firstLineChars="200"/>
        <w:rPr>
          <w:rFonts w:ascii="黑体" w:hAnsi="黑体" w:eastAsia="黑体" w:cs="宋体"/>
          <w:b/>
          <w:bCs/>
          <w:kern w:val="0"/>
          <w:sz w:val="32"/>
          <w:szCs w:val="32"/>
          <w:highlight w:val="none"/>
        </w:rPr>
      </w:pPr>
      <w:r>
        <w:rPr>
          <w:rFonts w:hint="eastAsia" w:ascii="黑体" w:hAnsi="黑体" w:eastAsia="黑体" w:cs="宋体"/>
          <w:b/>
          <w:bCs/>
          <w:kern w:val="0"/>
          <w:sz w:val="32"/>
          <w:szCs w:val="32"/>
          <w:highlight w:val="none"/>
        </w:rPr>
        <w:t>第二部分：广西建设职业技术学院2021年部门预算情况说明</w:t>
      </w:r>
    </w:p>
    <w:p>
      <w:pPr>
        <w:adjustRightInd w:val="0"/>
        <w:snapToGrid w:val="0"/>
        <w:spacing w:line="600" w:lineRule="exact"/>
        <w:ind w:right="-218" w:rightChars="-104"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一、部门收支预算情况说明</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（一）2021年收入总预算58,967.78万元，2020年收入总预算49,787.14万元，同比增加9,180.64万元,增长18.44%。其中：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一般公共预算拨款收入29,936.34万元，同比增加3,390.65万元，增长12.77%。增长原因：在校学生人数增加，自治区生均拨款预算增加；我校入选国家和自治区“双高计划”建设高职院校，中央和自治区下拨了双高建设专项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2.财政专户管理资金收入28,511.44万元，同比增加 6,494.12万元，增长29.5%，其中：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（1）教育收费收入28,511.44万元，同比增加 6,494.12万元，增长29.5%。增长原因：非强制性培训规模增长，培训收入增加；学生人数增加，学费收入和住宿费收入增加。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（2）其他收入（财政专户）0万元，与上年无变动。</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lang w:val="en-US" w:eastAsia="zh-CN"/>
        </w:rPr>
        <w:t>3</w:t>
      </w:r>
      <w:r>
        <w:rPr>
          <w:rFonts w:hint="eastAsia" w:ascii="宋体" w:hAnsi="宋体"/>
          <w:sz w:val="32"/>
          <w:szCs w:val="32"/>
          <w:highlight w:val="none"/>
        </w:rPr>
        <w:t>.上年结转结余520万元，同比减少400万元，下降43.48%。减少原因：助学金专项基金支出增多，结余减少。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（二）2021年支出总预算58,967.78万元，同比增加9,180.64万元，增长18.44%。增长原因：一是学生、人员增加</w:t>
      </w:r>
      <w:r>
        <w:rPr>
          <w:rFonts w:hint="eastAsia" w:ascii="宋体" w:hAnsi="宋体"/>
          <w:sz w:val="32"/>
          <w:szCs w:val="32"/>
          <w:highlight w:val="none"/>
          <w:lang w:eastAsia="zh-CN"/>
        </w:rPr>
        <w:t>；</w:t>
      </w:r>
      <w:r>
        <w:rPr>
          <w:rFonts w:hint="eastAsia" w:ascii="宋体" w:hAnsi="宋体"/>
          <w:sz w:val="32"/>
          <w:szCs w:val="32"/>
          <w:highlight w:val="none"/>
        </w:rPr>
        <w:t>二是我校入选国家“双高计划”建设单位，“双高”建设项目预算资金安排增加。按支出功能分类科目划分，共分为四类，其中：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1.教育支出57,953.91</w:t>
      </w:r>
      <w:r>
        <w:rPr>
          <w:rFonts w:ascii="宋体" w:hAnsi="宋体"/>
          <w:sz w:val="32"/>
          <w:szCs w:val="32"/>
          <w:highlight w:val="none"/>
        </w:rPr>
        <w:t>万元</w:t>
      </w:r>
      <w:r>
        <w:rPr>
          <w:rFonts w:hint="eastAsia" w:ascii="宋体" w:hAnsi="宋体"/>
          <w:sz w:val="32"/>
          <w:szCs w:val="32"/>
          <w:highlight w:val="none"/>
        </w:rPr>
        <w:t>，占支出总预算98.28%,同比增加9,095.50万元，增长18.62%，增长原因：学生、人员增加，以及我校入选国家“双高计划”建设单位，加大了“双高”建设项目预算资金。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2.社会保障和就业支出648.58</w:t>
      </w:r>
      <w:r>
        <w:rPr>
          <w:rFonts w:ascii="宋体" w:hAnsi="宋体"/>
          <w:sz w:val="32"/>
          <w:szCs w:val="32"/>
          <w:highlight w:val="none"/>
        </w:rPr>
        <w:t>万元</w:t>
      </w:r>
      <w:r>
        <w:rPr>
          <w:rFonts w:hint="eastAsia" w:ascii="宋体" w:hAnsi="宋体"/>
          <w:sz w:val="32"/>
          <w:szCs w:val="32"/>
          <w:highlight w:val="none"/>
        </w:rPr>
        <w:t>，占支出总预算1.10%,同比增加48.03万元，增长8%，增长原因：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提高，社会保障支出相应增加。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3.卫生健康支出139.34</w:t>
      </w:r>
      <w:r>
        <w:rPr>
          <w:rFonts w:ascii="宋体" w:hAnsi="宋体"/>
          <w:sz w:val="32"/>
          <w:szCs w:val="32"/>
          <w:highlight w:val="none"/>
        </w:rPr>
        <w:t>万元</w:t>
      </w:r>
      <w:r>
        <w:rPr>
          <w:rFonts w:hint="eastAsia" w:ascii="宋体" w:hAnsi="宋体"/>
          <w:sz w:val="32"/>
          <w:szCs w:val="32"/>
          <w:highlight w:val="none"/>
        </w:rPr>
        <w:t>，占支出总预算0.24%,同比增加18.43万元，增长15.24%，增长原因：2021年医疗保险含生育保险费用，以及</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提高，医疗保险费相应增加。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4.住房保障支出225.95</w:t>
      </w:r>
      <w:r>
        <w:rPr>
          <w:rFonts w:ascii="宋体" w:hAnsi="宋体"/>
          <w:sz w:val="32"/>
          <w:szCs w:val="32"/>
          <w:highlight w:val="none"/>
        </w:rPr>
        <w:t>万元</w:t>
      </w:r>
      <w:r>
        <w:rPr>
          <w:rFonts w:hint="eastAsia" w:ascii="宋体" w:hAnsi="宋体"/>
          <w:sz w:val="32"/>
          <w:szCs w:val="32"/>
          <w:highlight w:val="none"/>
        </w:rPr>
        <w:t>，占支出总预算0.38%,同比增加18.68万元，增长9.01%，增长原因：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提高，住房公积金相应增加。</w:t>
      </w:r>
    </w:p>
    <w:p>
      <w:pPr>
        <w:spacing w:line="600" w:lineRule="exact"/>
        <w:ind w:firstLine="640" w:firstLineChars="200"/>
        <w:rPr>
          <w:rFonts w:ascii="宋体" w:hAnsi="宋体"/>
          <w:sz w:val="32"/>
          <w:szCs w:val="32"/>
          <w:highlight w:val="none"/>
        </w:rPr>
      </w:pPr>
      <w:r>
        <w:rPr>
          <w:rFonts w:hint="eastAsia" w:ascii="黑体" w:hAnsi="Calibri" w:eastAsia="黑体" w:cs="Times New Roman"/>
          <w:sz w:val="32"/>
          <w:szCs w:val="32"/>
          <w:highlight w:val="none"/>
        </w:rPr>
        <w:t>二、部门收入预算情况说明</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2021年收入总预算58,967.78万元，同比增加9,180.64万元，增长18.44%。其中：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1.本年收入58,447.78万元，占收入总预算99.12%，同比增加9,580.64万元，增长19.61%，其中：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一般公共预算拨款收入29,936.34万元，占本年收入51.22%，同比增加3,390.65万元，增长12.77%。增长原因：在校学生人数增加，自治区生均拨款预算增加；我校入选国家和自治区“双高计划”建设高职院校，中央和自治区下拨了双高建设专项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（2）财政专户管理资金收入28,511.44万元，占本年收入48.78%，同比增加 6,494.12万元，增长29.5%，增长原因：非强制性培训规模增长，培训收入增加；学生人数增加，学费收入和住宿费收入增加。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2.上年结转结余</w:t>
      </w:r>
      <w:r>
        <w:rPr>
          <w:rFonts w:hint="eastAsia" w:ascii="宋体" w:hAnsi="宋体"/>
          <w:sz w:val="32"/>
          <w:szCs w:val="32"/>
          <w:highlight w:val="none"/>
        </w:rPr>
        <w:tab/>
      </w:r>
      <w:r>
        <w:rPr>
          <w:rFonts w:hint="eastAsia" w:ascii="宋体" w:hAnsi="宋体"/>
          <w:sz w:val="32"/>
          <w:szCs w:val="32"/>
          <w:highlight w:val="none"/>
        </w:rPr>
        <w:t>520万元，占收入总预算0.88%，同比减少400万元，下降43.48%。减少原因：助学金专项基金支出增多，结余减少。</w:t>
      </w:r>
    </w:p>
    <w:p>
      <w:pPr>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三、部门支出预算情况说明</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2021年支出总预算58,967.78万元，按支出结构分类划分，分为基本支出预算和项目支出预算。</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1.基本支出预算。</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基本支出预算7,121.36万元，占支出总预算12.08%，同比增加1,206.48万元，增长20.4%。增长原因：2021年人员增加，人员经费、公用经费也相应有所提高。基本支出预算按支出功能分类科目划分为以下四类：</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（1）教育支出6,107.49 万元，占基本支出预算85.76%，同比增加1,121.34万元，增长22.49%，增长原因：2021年人员增加，人员经费、公用经费也相应有所增加。</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（2）社会保障和就业支出</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事业单位离退休支出165.77万元，占基本支出预算2.33%，同比增加10.19万元，增长6.55%；</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离退休人员管理机构支出30.91万元，占基本支出预算0.43%，同比增加0.48万元，增长1.58%；</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机关事业单位基本养老保险缴费支出301.27万元，占基本支出预算4.23%，同比增加24.91万元，增长9.01%；</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机关事业单位职业年金缴费支出150.63万元，占基本支出预算2.12%，同比增加12.45万元，增长9.01%；</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增长原因：人员增加、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提高，社会保障支出相应增加。</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（3）事业单位医疗支出139.34万元，占基本支出预算1.96%，同比增加18.43万元，增长15.24%，增长原因：</w:t>
      </w:r>
      <w:r>
        <w:rPr>
          <w:rFonts w:hint="eastAsia" w:ascii="宋体" w:hAnsi="宋体"/>
          <w:sz w:val="32"/>
          <w:szCs w:val="32"/>
          <w:highlight w:val="none"/>
        </w:rPr>
        <w:t>部分人员正常晋级及职务晋升，工资有所提高，医疗保险费相应增加。</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（4）住房公积金支出225.95万元，占基本支出预算3.17%，同比增加18.68万元，增长9.01%，增长原因：</w:t>
      </w:r>
      <w:r>
        <w:rPr>
          <w:rFonts w:hint="eastAsia" w:ascii="宋体" w:hAnsi="宋体"/>
          <w:sz w:val="32"/>
          <w:szCs w:val="32"/>
          <w:highlight w:val="none"/>
        </w:rPr>
        <w:t>部分人员正常晋级及职务晋升，工资有所提高，住房公积金相应增加。</w:t>
      </w:r>
    </w:p>
    <w:p>
      <w:pPr>
        <w:spacing w:line="600" w:lineRule="exact"/>
        <w:ind w:firstLine="640" w:firstLineChars="200"/>
        <w:rPr>
          <w:rFonts w:ascii="宋体" w:hAnsi="宋体" w:cs="宋体"/>
          <w:snapToGrid w:val="0"/>
          <w:sz w:val="32"/>
          <w:szCs w:val="32"/>
          <w:highlight w:val="none"/>
        </w:rPr>
      </w:pPr>
      <w:r>
        <w:rPr>
          <w:rFonts w:hint="eastAsia" w:ascii="宋体" w:hAnsi="宋体" w:cs="宋体"/>
          <w:snapToGrid w:val="0"/>
          <w:sz w:val="32"/>
          <w:szCs w:val="32"/>
          <w:highlight w:val="none"/>
        </w:rPr>
        <w:t>2.项目支出预算。</w:t>
      </w:r>
    </w:p>
    <w:p>
      <w:pPr>
        <w:spacing w:line="600" w:lineRule="exact"/>
        <w:ind w:firstLine="640" w:firstLineChars="200"/>
        <w:rPr>
          <w:rFonts w:ascii="宋体" w:hAnsi="宋体" w:cs="宋体"/>
          <w:snapToGrid w:val="0"/>
          <w:sz w:val="32"/>
          <w:szCs w:val="32"/>
          <w:highlight w:val="none"/>
        </w:rPr>
      </w:pPr>
      <w:r>
        <w:rPr>
          <w:rFonts w:hint="eastAsia" w:ascii="宋体" w:hAnsi="宋体" w:cs="宋体"/>
          <w:snapToGrid w:val="0"/>
          <w:sz w:val="32"/>
          <w:szCs w:val="32"/>
          <w:highlight w:val="none"/>
        </w:rPr>
        <w:t>项目支出预算</w:t>
      </w:r>
      <w:r>
        <w:rPr>
          <w:rFonts w:hint="eastAsia" w:ascii="宋体" w:hAnsi="宋体"/>
          <w:sz w:val="32"/>
          <w:szCs w:val="32"/>
          <w:highlight w:val="none"/>
        </w:rPr>
        <w:t>51,846.42</w:t>
      </w:r>
      <w:r>
        <w:rPr>
          <w:rFonts w:hint="eastAsia" w:ascii="宋体" w:hAnsi="宋体" w:cs="宋体"/>
          <w:snapToGrid w:val="0"/>
          <w:sz w:val="32"/>
          <w:szCs w:val="32"/>
          <w:highlight w:val="none"/>
        </w:rPr>
        <w:t>万元，占支出总预算</w:t>
      </w:r>
      <w:r>
        <w:rPr>
          <w:rFonts w:hint="eastAsia" w:ascii="宋体" w:hAnsi="宋体"/>
          <w:sz w:val="32"/>
          <w:szCs w:val="32"/>
          <w:highlight w:val="none"/>
        </w:rPr>
        <w:t>87.92</w:t>
      </w:r>
      <w:r>
        <w:rPr>
          <w:rFonts w:ascii="宋体" w:hAnsi="宋体" w:cs="宋体"/>
          <w:snapToGrid w:val="0"/>
          <w:sz w:val="32"/>
          <w:szCs w:val="32"/>
          <w:highlight w:val="none"/>
        </w:rPr>
        <w:t>%</w:t>
      </w:r>
      <w:r>
        <w:rPr>
          <w:rFonts w:hint="eastAsia" w:ascii="宋体" w:hAnsi="宋体" w:cs="宋体"/>
          <w:snapToGrid w:val="0"/>
          <w:sz w:val="32"/>
          <w:szCs w:val="32"/>
          <w:highlight w:val="none"/>
        </w:rPr>
        <w:t>，同比</w:t>
      </w:r>
      <w:r>
        <w:rPr>
          <w:rFonts w:hint="eastAsia" w:ascii="宋体" w:hAnsi="宋体"/>
          <w:sz w:val="32"/>
          <w:szCs w:val="32"/>
          <w:highlight w:val="none"/>
        </w:rPr>
        <w:t>增加7,974.16</w:t>
      </w:r>
      <w:r>
        <w:rPr>
          <w:rFonts w:hint="eastAsia" w:ascii="宋体" w:hAnsi="宋体" w:cs="宋体"/>
          <w:snapToGrid w:val="0"/>
          <w:sz w:val="32"/>
          <w:szCs w:val="32"/>
          <w:highlight w:val="none"/>
        </w:rPr>
        <w:t>万元，增长</w:t>
      </w:r>
      <w:r>
        <w:rPr>
          <w:rFonts w:hint="eastAsia" w:ascii="宋体" w:hAnsi="宋体"/>
          <w:sz w:val="32"/>
          <w:szCs w:val="32"/>
          <w:highlight w:val="none"/>
        </w:rPr>
        <w:t>18.18</w:t>
      </w:r>
      <w:r>
        <w:rPr>
          <w:rFonts w:ascii="宋体" w:hAnsi="宋体" w:cs="宋体"/>
          <w:snapToGrid w:val="0"/>
          <w:sz w:val="32"/>
          <w:szCs w:val="32"/>
          <w:highlight w:val="none"/>
        </w:rPr>
        <w:t>%</w:t>
      </w:r>
      <w:r>
        <w:rPr>
          <w:rFonts w:hint="eastAsia" w:ascii="宋体" w:hAnsi="宋体" w:cs="宋体"/>
          <w:snapToGrid w:val="0"/>
          <w:sz w:val="32"/>
          <w:szCs w:val="32"/>
          <w:highlight w:val="none"/>
        </w:rPr>
        <w:t>。项目支出全为教育支出，增长原因：我校入选国家“双高计划”建设单位，“双高”建设项目预算资金安排增加。</w:t>
      </w:r>
    </w:p>
    <w:p>
      <w:pPr>
        <w:spacing w:line="600" w:lineRule="exact"/>
        <w:ind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四、财政拨款收支预算情况说明</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（一）2021年一般公共预算收入29,936.34万元，同比增加3,390.65万元，增长12.77%。其中：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1.经费拨款19,246.25万元，同比增加3,390.65万元，增长21.38%。增长原因：在校学生人数增加，自治区生均拨款预算增加；我校入选国家和自治区“双高计划”建设高职院校，中央和自治区下拨了双高建设专项资金。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2.纳入一般公共预算管理的非税收入10,690.09万元，同比持平。</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（二）2021年一般公共预算支出29,936.34万元，同比增加3,390.65万元，增长12.77%。增长原因：在校生、</w:t>
      </w:r>
      <w:r>
        <w:rPr>
          <w:rFonts w:hint="eastAsia" w:ascii="宋体" w:hAnsi="宋体"/>
          <w:color w:val="000000"/>
          <w:sz w:val="32"/>
          <w:szCs w:val="32"/>
          <w:highlight w:val="none"/>
        </w:rPr>
        <w:t>人员增加，人员经费、公用经费也相应有所增加</w:t>
      </w:r>
      <w:r>
        <w:rPr>
          <w:rFonts w:hint="eastAsia" w:ascii="宋体" w:hAnsi="宋体"/>
          <w:sz w:val="32"/>
          <w:szCs w:val="32"/>
          <w:highlight w:val="none"/>
        </w:rPr>
        <w:t>；我校入选国家和自治区“双高计划”建设高职院校，中央和自治区下拨了双高建设专项资金。</w:t>
      </w:r>
    </w:p>
    <w:p>
      <w:pPr>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五、一般公共预算支出情况说明</w:t>
      </w:r>
    </w:p>
    <w:p>
      <w:pPr>
        <w:spacing w:line="600" w:lineRule="exact"/>
        <w:ind w:firstLine="640" w:firstLineChars="200"/>
        <w:rPr>
          <w:rFonts w:ascii="宋体" w:hAnsi="宋体" w:cs="宋体"/>
          <w:snapToGrid w:val="0"/>
          <w:sz w:val="32"/>
          <w:szCs w:val="32"/>
          <w:highlight w:val="none"/>
        </w:rPr>
      </w:pPr>
      <w:r>
        <w:rPr>
          <w:rFonts w:hint="eastAsia" w:ascii="宋体" w:hAnsi="宋体" w:cs="宋体"/>
          <w:snapToGrid w:val="0"/>
          <w:sz w:val="32"/>
          <w:szCs w:val="32"/>
          <w:highlight w:val="none"/>
        </w:rPr>
        <w:t>2021年一般公共预算支出29,936.34</w:t>
      </w:r>
      <w:r>
        <w:rPr>
          <w:rFonts w:hint="eastAsia" w:ascii="宋体" w:hAnsi="宋体"/>
          <w:sz w:val="32"/>
          <w:szCs w:val="32"/>
          <w:highlight w:val="none"/>
        </w:rPr>
        <w:t>万</w:t>
      </w:r>
      <w:r>
        <w:rPr>
          <w:rFonts w:hint="eastAsia" w:ascii="宋体" w:hAnsi="宋体" w:cs="宋体"/>
          <w:snapToGrid w:val="0"/>
          <w:sz w:val="32"/>
          <w:szCs w:val="32"/>
          <w:highlight w:val="none"/>
        </w:rPr>
        <w:t>元，同比增加3,390.65</w:t>
      </w:r>
      <w:r>
        <w:rPr>
          <w:rFonts w:hint="eastAsia" w:ascii="宋体" w:hAnsi="宋体"/>
          <w:sz w:val="32"/>
          <w:szCs w:val="32"/>
          <w:highlight w:val="none"/>
        </w:rPr>
        <w:t>万元，增长</w:t>
      </w:r>
      <w:r>
        <w:rPr>
          <w:rFonts w:hint="eastAsia" w:ascii="宋体" w:hAnsi="宋体" w:cs="宋体"/>
          <w:snapToGrid w:val="0"/>
          <w:sz w:val="32"/>
          <w:szCs w:val="32"/>
          <w:highlight w:val="none"/>
        </w:rPr>
        <w:t>12.77</w:t>
      </w:r>
      <w:r>
        <w:rPr>
          <w:rFonts w:ascii="宋体" w:hAnsi="宋体" w:cs="宋体"/>
          <w:snapToGrid w:val="0"/>
          <w:sz w:val="32"/>
          <w:szCs w:val="32"/>
          <w:highlight w:val="none"/>
        </w:rPr>
        <w:t>%</w:t>
      </w:r>
      <w:r>
        <w:rPr>
          <w:rFonts w:hint="eastAsia" w:ascii="宋体" w:hAnsi="宋体" w:cs="宋体"/>
          <w:snapToGrid w:val="0"/>
          <w:sz w:val="32"/>
          <w:szCs w:val="32"/>
          <w:highlight w:val="none"/>
        </w:rPr>
        <w:t>。</w:t>
      </w:r>
    </w:p>
    <w:p>
      <w:pPr>
        <w:spacing w:line="600" w:lineRule="exact"/>
        <w:ind w:firstLine="640" w:firstLineChars="200"/>
        <w:rPr>
          <w:rFonts w:ascii="宋体" w:hAnsi="宋体"/>
          <w:sz w:val="32"/>
          <w:szCs w:val="32"/>
          <w:highlight w:val="none"/>
        </w:rPr>
      </w:pPr>
      <w:r>
        <w:rPr>
          <w:rFonts w:hint="eastAsia" w:ascii="宋体" w:hAnsi="宋体" w:cs="宋体"/>
          <w:snapToGrid w:val="0"/>
          <w:sz w:val="32"/>
          <w:szCs w:val="32"/>
          <w:highlight w:val="none"/>
        </w:rPr>
        <w:t>1.按支出结构分类划分，分为基本支出预算和项目支出预算。</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（1）基本支出预算。</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基本支出预算4,875.82万元，占一般公共预算支出16.29%，同比增加938.75万元，增长23.84%。其中：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人员经费支出3,451.99万元，占一般公共预算基本支出70.80%，同比增加971.94万元，增长39.19%。增长原因：人员增加、部分人员正常晋级及职务晋升，人员经费相应增加。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公用经费支出1,423.83万元，占一般公共预算基本支出29.20%，同比减少33.19万元，下降2.28%，减少原因：运转类公用经费用财政专户管理资金收入安排的资金比重增加。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（2）项目支出预算。</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项目支出预算25,060.52万元，占一般公共预算支出83.71%，同比增加2,451.90万元，增长10.84%。主要原因：在校学生人数增加，自治区生均拨款预算增加；我校入选国家和自治区“双高计划”建设高职院校，中央和自治区下拨</w:t>
      </w:r>
      <w:r>
        <w:rPr>
          <w:rFonts w:hint="eastAsia" w:ascii="宋体" w:hAnsi="宋体"/>
          <w:sz w:val="32"/>
          <w:szCs w:val="32"/>
          <w:highlight w:val="none"/>
          <w:lang w:eastAsia="zh-CN"/>
        </w:rPr>
        <w:t>的</w:t>
      </w:r>
      <w:r>
        <w:rPr>
          <w:rFonts w:hint="eastAsia" w:ascii="宋体" w:hAnsi="宋体"/>
          <w:sz w:val="32"/>
          <w:szCs w:val="32"/>
          <w:highlight w:val="none"/>
        </w:rPr>
        <w:t>双高建设专项资金预算列入项目安排。</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2.按支出功能分类科目划分，共分为四类。</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（1）教育支出29,205.65万元，占一般公共预算支出97.56%，同比增加3,321.32万元，增长12.83%。增长原因：在校生、</w:t>
      </w:r>
      <w:r>
        <w:rPr>
          <w:rFonts w:hint="eastAsia" w:ascii="宋体" w:hAnsi="宋体"/>
          <w:color w:val="000000"/>
          <w:sz w:val="32"/>
          <w:szCs w:val="32"/>
          <w:highlight w:val="none"/>
        </w:rPr>
        <w:t>人员增加，人员经费、公用经费也相应有所增加</w:t>
      </w:r>
      <w:r>
        <w:rPr>
          <w:rFonts w:hint="eastAsia" w:ascii="宋体" w:hAnsi="宋体"/>
          <w:sz w:val="32"/>
          <w:szCs w:val="32"/>
          <w:highlight w:val="none"/>
        </w:rPr>
        <w:t>；我校入选国家和自治区“双高计划”建设高职院校，中央和自治区下拨了双高建设专项资金。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（2）社会保障和就业支出</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事业单位离退休支出64.13万元，占一般公共预算支出0.21%，同比增加7.31万，增长12.87%；</w:t>
      </w:r>
    </w:p>
    <w:p>
      <w:pPr>
        <w:spacing w:line="600" w:lineRule="exact"/>
        <w:ind w:firstLine="640" w:firstLineChars="200"/>
        <w:rPr>
          <w:rFonts w:hint="eastAsia" w:ascii="宋体" w:hAnsi="宋体" w:eastAsiaTheme="minorEastAsia"/>
          <w:sz w:val="32"/>
          <w:szCs w:val="32"/>
          <w:highlight w:val="none"/>
          <w:lang w:eastAsia="zh-CN"/>
        </w:rPr>
      </w:pPr>
      <w:r>
        <w:rPr>
          <w:rFonts w:hint="eastAsia" w:ascii="宋体" w:hAnsi="宋体"/>
          <w:sz w:val="32"/>
          <w:szCs w:val="32"/>
          <w:highlight w:val="none"/>
        </w:rPr>
        <w:t>机关事业单位基本养老保险缴费支出301.27万元，占一般公共预算支出1.01%，同比增加24.91万，增长9.01%</w:t>
      </w:r>
      <w:r>
        <w:rPr>
          <w:rFonts w:hint="eastAsia" w:ascii="宋体" w:hAnsi="宋体"/>
          <w:sz w:val="32"/>
          <w:szCs w:val="32"/>
          <w:highlight w:val="none"/>
          <w:lang w:eastAsia="zh-CN"/>
        </w:rPr>
        <w:t>。</w:t>
      </w:r>
      <w:r>
        <w:rPr>
          <w:rFonts w:hint="eastAsia" w:ascii="宋体" w:hAnsi="宋体"/>
          <w:sz w:val="32"/>
          <w:szCs w:val="32"/>
          <w:highlight w:val="none"/>
        </w:rPr>
        <w:t>增长原因：2021年人员增加、部分人员正常晋级及职务晋升，工资有所提高，社会保障相应增加</w:t>
      </w:r>
      <w:r>
        <w:rPr>
          <w:rFonts w:hint="eastAsia" w:ascii="宋体" w:hAnsi="宋体"/>
          <w:sz w:val="32"/>
          <w:szCs w:val="32"/>
          <w:highlight w:val="none"/>
          <w:lang w:eastAsia="zh-CN"/>
        </w:rPr>
        <w:t>。</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（3）事业单位医疗支出139.34万元，占一般公共预算支出0.47%,同比增加18.43万元，增长15.24%。增长原因：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提高，医疗保险费相应增加。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（4）住房公积金支出225.95万元，占一般公共预算支出0.75%，同比增加18.68万元，增长9.01%。增长原因：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提高，住房公积金相应增加。</w:t>
      </w:r>
    </w:p>
    <w:p>
      <w:pPr>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六、一般公共预算基本支出情况说明</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基本支出预算4,875.82万元，占一般公共预算支出16.29%，同比增加938.75万元，增长23.84%。其中：</w:t>
      </w:r>
    </w:p>
    <w:p>
      <w:pPr>
        <w:pStyle w:val="2"/>
        <w:adjustRightInd w:val="0"/>
        <w:snapToGrid w:val="0"/>
        <w:spacing w:line="600" w:lineRule="exact"/>
        <w:ind w:firstLine="660"/>
        <w:rPr>
          <w:rFonts w:hAnsi="宋体" w:cs="宋体"/>
          <w:snapToGrid w:val="0"/>
          <w:sz w:val="32"/>
          <w:szCs w:val="32"/>
          <w:highlight w:val="none"/>
        </w:rPr>
      </w:pPr>
      <w:r>
        <w:rPr>
          <w:rFonts w:hint="eastAsia" w:hAnsi="宋体" w:cs="宋体"/>
          <w:snapToGrid w:val="0"/>
          <w:sz w:val="32"/>
          <w:szCs w:val="32"/>
          <w:highlight w:val="none"/>
        </w:rPr>
        <w:t>工资福利支出预算</w:t>
      </w:r>
      <w:r>
        <w:rPr>
          <w:rFonts w:hAnsi="宋体"/>
          <w:sz w:val="32"/>
          <w:szCs w:val="32"/>
          <w:highlight w:val="none"/>
        </w:rPr>
        <w:t>3</w:t>
      </w:r>
      <w:r>
        <w:rPr>
          <w:rFonts w:hint="eastAsia" w:hAnsi="宋体"/>
          <w:sz w:val="32"/>
          <w:szCs w:val="32"/>
          <w:highlight w:val="none"/>
        </w:rPr>
        <w:t>,3</w:t>
      </w:r>
      <w:r>
        <w:rPr>
          <w:rFonts w:hAnsi="宋体"/>
          <w:sz w:val="32"/>
          <w:szCs w:val="32"/>
          <w:highlight w:val="none"/>
        </w:rPr>
        <w:t>19.46</w:t>
      </w:r>
      <w:r>
        <w:rPr>
          <w:rFonts w:hint="eastAsia" w:hAnsi="宋体" w:cs="宋体"/>
          <w:snapToGrid w:val="0"/>
          <w:sz w:val="32"/>
          <w:szCs w:val="32"/>
          <w:highlight w:val="none"/>
        </w:rPr>
        <w:t>万元，占一般公共预算基本支出</w:t>
      </w:r>
      <w:r>
        <w:rPr>
          <w:rFonts w:hAnsi="宋体"/>
          <w:sz w:val="32"/>
          <w:szCs w:val="32"/>
          <w:highlight w:val="none"/>
        </w:rPr>
        <w:t>68.08</w:t>
      </w:r>
      <w:r>
        <w:rPr>
          <w:rFonts w:hint="eastAsia" w:hAnsi="宋体" w:cs="宋体"/>
          <w:snapToGrid w:val="0"/>
          <w:sz w:val="32"/>
          <w:szCs w:val="32"/>
          <w:highlight w:val="none"/>
        </w:rPr>
        <w:t>％，同比增加</w:t>
      </w:r>
      <w:r>
        <w:rPr>
          <w:rFonts w:hAnsi="宋体"/>
          <w:sz w:val="32"/>
          <w:szCs w:val="32"/>
          <w:highlight w:val="none"/>
        </w:rPr>
        <w:t>964.26</w:t>
      </w:r>
      <w:r>
        <w:rPr>
          <w:rFonts w:hint="eastAsia" w:hAnsi="宋体" w:cs="宋体"/>
          <w:snapToGrid w:val="0"/>
          <w:sz w:val="32"/>
          <w:szCs w:val="32"/>
          <w:highlight w:val="none"/>
        </w:rPr>
        <w:t>万元，增长</w:t>
      </w:r>
      <w:r>
        <w:rPr>
          <w:rFonts w:hAnsi="宋体"/>
          <w:sz w:val="32"/>
          <w:szCs w:val="32"/>
          <w:highlight w:val="none"/>
        </w:rPr>
        <w:t>40.94</w:t>
      </w:r>
      <w:r>
        <w:rPr>
          <w:rFonts w:hAnsi="宋体" w:cs="宋体"/>
          <w:snapToGrid w:val="0"/>
          <w:sz w:val="32"/>
          <w:szCs w:val="32"/>
          <w:highlight w:val="none"/>
        </w:rPr>
        <w:t>%</w:t>
      </w:r>
      <w:r>
        <w:rPr>
          <w:rFonts w:hint="eastAsia" w:hAnsi="宋体" w:cs="宋体"/>
          <w:snapToGrid w:val="0"/>
          <w:sz w:val="32"/>
          <w:szCs w:val="32"/>
          <w:highlight w:val="none"/>
        </w:rPr>
        <w:t>。增长原因：一是</w:t>
      </w:r>
      <w:r>
        <w:rPr>
          <w:rFonts w:hint="eastAsia" w:hAnsi="宋体"/>
          <w:sz w:val="32"/>
          <w:szCs w:val="32"/>
          <w:highlight w:val="none"/>
        </w:rPr>
        <w:t>部分人员正常晋级及职务晋升，</w:t>
      </w:r>
      <w:r>
        <w:rPr>
          <w:rFonts w:hint="eastAsia" w:hAnsi="宋体" w:cs="宋体"/>
          <w:snapToGrid w:val="0"/>
          <w:sz w:val="32"/>
          <w:szCs w:val="32"/>
          <w:highlight w:val="none"/>
        </w:rPr>
        <w:t>工资福利支出相应有所增加；二是我校2020年新增144名非实名编</w:t>
      </w:r>
      <w:r>
        <w:rPr>
          <w:rFonts w:hint="eastAsia" w:hAnsi="宋体" w:cs="宋体"/>
          <w:snapToGrid w:val="0"/>
          <w:sz w:val="32"/>
          <w:szCs w:val="32"/>
          <w:highlight w:val="none"/>
          <w:lang w:eastAsia="zh-CN"/>
        </w:rPr>
        <w:t>和</w:t>
      </w:r>
      <w:r>
        <w:rPr>
          <w:rFonts w:hint="eastAsia" w:ascii="宋体" w:hAnsi="宋体" w:cs="宋体"/>
          <w:bCs/>
          <w:snapToGrid w:val="0"/>
          <w:sz w:val="32"/>
          <w:szCs w:val="32"/>
          <w:highlight w:val="none"/>
        </w:rPr>
        <w:t>人才专项事业编制</w:t>
      </w:r>
      <w:r>
        <w:rPr>
          <w:rFonts w:hint="eastAsia" w:hAnsi="宋体" w:cs="宋体"/>
          <w:snapToGrid w:val="0"/>
          <w:sz w:val="32"/>
          <w:szCs w:val="32"/>
          <w:highlight w:val="none"/>
        </w:rPr>
        <w:t>人员，</w:t>
      </w:r>
      <w:r>
        <w:rPr>
          <w:rFonts w:hint="eastAsia" w:hAnsi="宋体" w:cs="宋体"/>
          <w:snapToGrid w:val="0"/>
          <w:sz w:val="32"/>
          <w:szCs w:val="32"/>
          <w:highlight w:val="none"/>
          <w:lang w:eastAsia="zh-CN"/>
        </w:rPr>
        <w:t>统一</w:t>
      </w:r>
      <w:r>
        <w:rPr>
          <w:rFonts w:hint="eastAsia" w:hAnsi="宋体" w:cs="宋体"/>
          <w:snapToGrid w:val="0"/>
          <w:sz w:val="32"/>
          <w:szCs w:val="32"/>
          <w:highlight w:val="none"/>
        </w:rPr>
        <w:t>按定额标准5.225万元/人列入基本支出安排，增加了非实名编制人员定额补助752.40万元。</w:t>
      </w:r>
    </w:p>
    <w:p>
      <w:pPr>
        <w:adjustRightInd w:val="0"/>
        <w:snapToGrid w:val="0"/>
        <w:spacing w:line="600" w:lineRule="exact"/>
        <w:ind w:firstLine="640" w:firstLineChars="200"/>
        <w:rPr>
          <w:rFonts w:ascii="宋体" w:hAnsi="宋体" w:cs="宋体"/>
          <w:snapToGrid w:val="0"/>
          <w:sz w:val="32"/>
          <w:szCs w:val="32"/>
          <w:highlight w:val="none"/>
        </w:rPr>
      </w:pPr>
      <w:r>
        <w:rPr>
          <w:rFonts w:hint="eastAsia" w:ascii="宋体" w:hAnsi="宋体" w:cs="宋体"/>
          <w:snapToGrid w:val="0"/>
          <w:sz w:val="32"/>
          <w:szCs w:val="32"/>
          <w:highlight w:val="none"/>
        </w:rPr>
        <w:t>商品和服务支出预算1,423.83万元，占</w:t>
      </w:r>
      <w:r>
        <w:rPr>
          <w:rFonts w:hint="eastAsia" w:hAnsi="宋体" w:cs="宋体"/>
          <w:snapToGrid w:val="0"/>
          <w:sz w:val="32"/>
          <w:szCs w:val="32"/>
          <w:highlight w:val="none"/>
        </w:rPr>
        <w:t>一般公共预算基本支出</w:t>
      </w:r>
      <w:r>
        <w:rPr>
          <w:rFonts w:hint="eastAsia" w:ascii="宋体" w:hAnsi="宋体"/>
          <w:sz w:val="32"/>
          <w:szCs w:val="32"/>
          <w:highlight w:val="none"/>
        </w:rPr>
        <w:t>29.20</w:t>
      </w:r>
      <w:r>
        <w:rPr>
          <w:rFonts w:ascii="宋体" w:hAnsi="宋体" w:cs="宋体"/>
          <w:snapToGrid w:val="0"/>
          <w:sz w:val="32"/>
          <w:szCs w:val="32"/>
          <w:highlight w:val="none"/>
        </w:rPr>
        <w:t>%</w:t>
      </w:r>
      <w:r>
        <w:rPr>
          <w:rFonts w:hint="eastAsia" w:ascii="宋体" w:hAnsi="宋体" w:cs="宋体"/>
          <w:snapToGrid w:val="0"/>
          <w:sz w:val="32"/>
          <w:szCs w:val="32"/>
          <w:highlight w:val="none"/>
        </w:rPr>
        <w:t>，同比减少3</w:t>
      </w:r>
      <w:r>
        <w:rPr>
          <w:rFonts w:ascii="宋体" w:hAnsi="宋体" w:cs="宋体"/>
          <w:snapToGrid w:val="0"/>
          <w:sz w:val="32"/>
          <w:szCs w:val="32"/>
          <w:highlight w:val="none"/>
        </w:rPr>
        <w:t>3.19</w:t>
      </w:r>
      <w:r>
        <w:rPr>
          <w:rFonts w:hint="eastAsia" w:ascii="宋体" w:hAnsi="宋体" w:cs="宋体"/>
          <w:snapToGrid w:val="0"/>
          <w:sz w:val="32"/>
          <w:szCs w:val="32"/>
          <w:highlight w:val="none"/>
        </w:rPr>
        <w:t>万元，下降2</w:t>
      </w:r>
      <w:r>
        <w:rPr>
          <w:rFonts w:ascii="宋体" w:hAnsi="宋体" w:cs="宋体"/>
          <w:snapToGrid w:val="0"/>
          <w:sz w:val="32"/>
          <w:szCs w:val="32"/>
          <w:highlight w:val="none"/>
        </w:rPr>
        <w:t>.28%</w:t>
      </w:r>
      <w:r>
        <w:rPr>
          <w:rFonts w:hint="eastAsia" w:ascii="宋体" w:hAnsi="宋体" w:cs="宋体"/>
          <w:snapToGrid w:val="0"/>
          <w:sz w:val="32"/>
          <w:szCs w:val="32"/>
          <w:highlight w:val="none"/>
        </w:rPr>
        <w:t>。减少原因：运转类公用经费用财政专户管理资金收入安排的资金比重增加。</w:t>
      </w:r>
    </w:p>
    <w:p>
      <w:pPr>
        <w:adjustRightInd w:val="0"/>
        <w:snapToGrid w:val="0"/>
        <w:spacing w:line="600" w:lineRule="exact"/>
        <w:ind w:firstLine="640" w:firstLineChars="200"/>
        <w:rPr>
          <w:rFonts w:ascii="宋体" w:hAnsi="宋体"/>
          <w:sz w:val="32"/>
          <w:szCs w:val="32"/>
          <w:highlight w:val="none"/>
        </w:rPr>
      </w:pPr>
      <w:r>
        <w:rPr>
          <w:rFonts w:hint="eastAsia" w:ascii="宋体" w:hAnsi="宋体" w:cs="宋体"/>
          <w:snapToGrid w:val="0"/>
          <w:sz w:val="32"/>
          <w:szCs w:val="32"/>
          <w:highlight w:val="none"/>
        </w:rPr>
        <w:t>对个人和家庭的补助预算</w:t>
      </w:r>
      <w:r>
        <w:rPr>
          <w:rFonts w:ascii="宋体" w:hAnsi="宋体"/>
          <w:sz w:val="32"/>
          <w:szCs w:val="32"/>
          <w:highlight w:val="none"/>
        </w:rPr>
        <w:t>132.53</w:t>
      </w:r>
      <w:r>
        <w:rPr>
          <w:rFonts w:hint="eastAsia" w:ascii="宋体" w:hAnsi="宋体" w:cs="宋体"/>
          <w:snapToGrid w:val="0"/>
          <w:sz w:val="32"/>
          <w:szCs w:val="32"/>
          <w:highlight w:val="none"/>
        </w:rPr>
        <w:t>万元，占</w:t>
      </w:r>
      <w:r>
        <w:rPr>
          <w:rFonts w:hint="eastAsia" w:hAnsi="宋体" w:cs="宋体"/>
          <w:snapToGrid w:val="0"/>
          <w:sz w:val="32"/>
          <w:szCs w:val="32"/>
          <w:highlight w:val="none"/>
        </w:rPr>
        <w:t>一般公共预算基本支出</w:t>
      </w:r>
      <w:r>
        <w:rPr>
          <w:rFonts w:ascii="宋体" w:hAnsi="宋体"/>
          <w:sz w:val="32"/>
          <w:szCs w:val="32"/>
          <w:highlight w:val="none"/>
        </w:rPr>
        <w:t>2.72</w:t>
      </w:r>
      <w:r>
        <w:rPr>
          <w:rFonts w:hint="eastAsia" w:ascii="宋体" w:hAnsi="宋体" w:cs="宋体"/>
          <w:snapToGrid w:val="0"/>
          <w:sz w:val="32"/>
          <w:szCs w:val="32"/>
          <w:highlight w:val="none"/>
        </w:rPr>
        <w:t>％，同比增加</w:t>
      </w:r>
      <w:r>
        <w:rPr>
          <w:rFonts w:ascii="宋体" w:hAnsi="宋体"/>
          <w:sz w:val="32"/>
          <w:szCs w:val="32"/>
          <w:highlight w:val="none"/>
        </w:rPr>
        <w:t>7.68</w:t>
      </w:r>
      <w:r>
        <w:rPr>
          <w:rFonts w:hint="eastAsia" w:ascii="宋体" w:hAnsi="宋体" w:cs="宋体"/>
          <w:snapToGrid w:val="0"/>
          <w:sz w:val="32"/>
          <w:szCs w:val="32"/>
          <w:highlight w:val="none"/>
        </w:rPr>
        <w:t>万元，增长</w:t>
      </w:r>
      <w:r>
        <w:rPr>
          <w:rFonts w:ascii="宋体" w:hAnsi="宋体"/>
          <w:sz w:val="32"/>
          <w:szCs w:val="32"/>
          <w:highlight w:val="none"/>
        </w:rPr>
        <w:t>6.15</w:t>
      </w:r>
      <w:r>
        <w:rPr>
          <w:rFonts w:ascii="宋体" w:hAnsi="宋体" w:cs="宋体"/>
          <w:snapToGrid w:val="0"/>
          <w:sz w:val="32"/>
          <w:szCs w:val="32"/>
          <w:highlight w:val="none"/>
        </w:rPr>
        <w:t>%</w:t>
      </w:r>
      <w:r>
        <w:rPr>
          <w:rFonts w:hint="eastAsia" w:ascii="宋体" w:hAnsi="宋体" w:cs="宋体"/>
          <w:snapToGrid w:val="0"/>
          <w:sz w:val="32"/>
          <w:szCs w:val="32"/>
          <w:highlight w:val="none"/>
        </w:rPr>
        <w:t>。增长原因：</w:t>
      </w:r>
      <w:r>
        <w:rPr>
          <w:rFonts w:hint="eastAsia" w:ascii="宋体" w:hAnsi="宋体"/>
          <w:sz w:val="32"/>
          <w:szCs w:val="32"/>
          <w:highlight w:val="none"/>
        </w:rPr>
        <w:t>退休人员增加了3人，相应退休人员退休补助等支出增加。</w:t>
      </w:r>
    </w:p>
    <w:p>
      <w:pPr>
        <w:adjustRightInd w:val="0"/>
        <w:snapToGrid w:val="0"/>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color w:val="000000" w:themeColor="text1"/>
          <w:kern w:val="0"/>
          <w:sz w:val="32"/>
          <w:szCs w:val="32"/>
          <w:highlight w:val="none"/>
        </w:rPr>
        <w:t>七、一般公共</w:t>
      </w:r>
      <w:r>
        <w:rPr>
          <w:rFonts w:hint="eastAsia" w:ascii="黑体" w:hAnsi="黑体" w:eastAsia="黑体" w:cs="宋体"/>
          <w:kern w:val="0"/>
          <w:sz w:val="32"/>
          <w:szCs w:val="32"/>
          <w:highlight w:val="none"/>
        </w:rPr>
        <w:t>预算“三公”经费情况说明</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2021年一般公共预算资金安排的“三公”经费支出预算0万元，与上年无变化。其中：</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1.因公出国（境）经费2021年一般公共预算0万元。</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2.公务接待费2021年一般公共预算0万元。</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3.公务用车费2021年一般公共预算0万元。</w:t>
      </w:r>
    </w:p>
    <w:p>
      <w:pPr>
        <w:adjustRightInd w:val="0"/>
        <w:snapToGrid w:val="0"/>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八、政府性基金预算情况说明</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2021年政府性资金预算安排0万元。</w:t>
      </w:r>
    </w:p>
    <w:p>
      <w:pPr>
        <w:adjustRightInd w:val="0"/>
        <w:snapToGrid w:val="0"/>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九、其他重要事项情况说明</w:t>
      </w:r>
    </w:p>
    <w:p>
      <w:pPr>
        <w:adjustRightInd w:val="0"/>
        <w:snapToGrid w:val="0"/>
        <w:spacing w:line="600" w:lineRule="exact"/>
        <w:ind w:firstLine="640" w:firstLineChars="200"/>
        <w:rPr>
          <w:rFonts w:ascii="宋体" w:hAnsi="宋体" w:eastAsia="宋体" w:cs="宋体"/>
          <w:sz w:val="32"/>
          <w:szCs w:val="32"/>
          <w:highlight w:val="none"/>
        </w:rPr>
      </w:pPr>
      <w:r>
        <w:rPr>
          <w:rFonts w:hint="eastAsia" w:ascii="黑体" w:hAnsi="黑体" w:eastAsia="黑体" w:cs="黑体"/>
          <w:sz w:val="32"/>
          <w:szCs w:val="32"/>
          <w:highlight w:val="none"/>
        </w:rPr>
        <w:t>（一）事业单位相关运行经费安排情况说明</w:t>
      </w:r>
    </w:p>
    <w:p>
      <w:pPr>
        <w:adjustRightInd w:val="0"/>
        <w:snapToGrid w:val="0"/>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2021年运行经费支出预算3,311.29 万元，</w:t>
      </w:r>
      <w:r>
        <w:rPr>
          <w:rFonts w:ascii="宋体" w:hAnsi="宋体" w:eastAsia="宋体" w:cs="宋体"/>
          <w:sz w:val="32"/>
          <w:szCs w:val="32"/>
          <w:highlight w:val="none"/>
        </w:rPr>
        <w:t>全部是基本支出预算。主要用于</w:t>
      </w:r>
      <w:r>
        <w:rPr>
          <w:rFonts w:hint="eastAsia" w:ascii="宋体" w:hAnsi="宋体" w:eastAsia="宋体" w:cs="宋体"/>
          <w:sz w:val="32"/>
          <w:szCs w:val="32"/>
          <w:highlight w:val="none"/>
        </w:rPr>
        <w:t>学校</w:t>
      </w:r>
      <w:r>
        <w:rPr>
          <w:rFonts w:ascii="宋体" w:hAnsi="宋体" w:eastAsia="宋体" w:cs="宋体"/>
          <w:sz w:val="32"/>
          <w:szCs w:val="32"/>
          <w:highlight w:val="none"/>
        </w:rPr>
        <w:t>为保证日常运转发生的公用经费。如办公费、印刷费、水电费、培训费、差旅费、会议费及办公用房维修（护）、物业管理费等日常公用经费支出。</w:t>
      </w:r>
      <w:r>
        <w:rPr>
          <w:rFonts w:hint="eastAsia" w:ascii="宋体" w:hAnsi="宋体" w:eastAsia="宋体" w:cs="宋体"/>
          <w:sz w:val="32"/>
          <w:szCs w:val="32"/>
          <w:highlight w:val="none"/>
        </w:rPr>
        <w:t>同比增加217.77万元，增长7.04%。主要原因：学生人数及教职工人数增加，相应的运行经费增加。</w:t>
      </w:r>
    </w:p>
    <w:p>
      <w:pPr>
        <w:adjustRightInd w:val="0"/>
        <w:snapToGrid w:val="0"/>
        <w:spacing w:line="600" w:lineRule="exact"/>
        <w:ind w:firstLine="640" w:firstLineChars="200"/>
        <w:rPr>
          <w:rFonts w:ascii="宋体" w:hAnsi="宋体" w:eastAsia="宋体" w:cs="宋体"/>
          <w:sz w:val="32"/>
          <w:szCs w:val="32"/>
          <w:highlight w:val="none"/>
        </w:rPr>
      </w:pPr>
      <w:r>
        <w:rPr>
          <w:rFonts w:hint="eastAsia" w:ascii="黑体" w:hAnsi="黑体" w:eastAsia="黑体" w:cs="黑体"/>
          <w:sz w:val="32"/>
          <w:szCs w:val="32"/>
          <w:highlight w:val="none"/>
        </w:rPr>
        <w:t>（二）政府采购预算安排情况说明</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2021年政府采购预算15,408.17万元，同比增加5,958.64万元，增长63.06%。增长原因：2021年我校的双高建设需要全面提升学校综合实力，需采购各种教学仪器设备，以及新办公楼的建成需要装修及配置相应的办公设备。其中：</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1.按政府采购项目类型分类</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（1）政府集中采购预算2,579.31万元，占政府采购预算16.74%，同比增加602.82万元，增长30.50%。其中：货物类集中采购1,734.61万元，服务类集中采购844.70万元。</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（2）分散采购预算12,828.86万元，占政府采购预算83.26%，同比增加5,355.82万元，增长71.67%，其中：货物类分散采购4,648.77万元，工程类分散采购7,810.09万元，服务类分散采购370.00万元。</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2.按政府采购资金类型分类</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（1）一般公共预算拨款12,161.29万元，占政府采购预算78.93%，同比增加4,280.11万元，增长54.31%。</w:t>
      </w:r>
    </w:p>
    <w:p>
      <w:pPr>
        <w:spacing w:line="600" w:lineRule="exact"/>
        <w:ind w:firstLine="640" w:firstLineChars="200"/>
        <w:rPr>
          <w:rFonts w:ascii="宋体" w:hAnsi="宋体"/>
          <w:sz w:val="32"/>
          <w:szCs w:val="32"/>
          <w:highlight w:val="none"/>
        </w:rPr>
      </w:pPr>
      <w:r>
        <w:rPr>
          <w:rFonts w:hint="eastAsia" w:ascii="宋体" w:hAnsi="宋体" w:eastAsia="宋体" w:cs="宋体"/>
          <w:sz w:val="32"/>
          <w:szCs w:val="32"/>
          <w:highlight w:val="none"/>
        </w:rPr>
        <w:t>（2）纳入财政专户管理的收入安排的资金3,246.88万元，占政府采购预算21.07%，同比增加1,678.53万元，增长107.03%</w:t>
      </w:r>
      <w:r>
        <w:rPr>
          <w:rFonts w:hint="eastAsia" w:ascii="宋体" w:hAnsi="宋体"/>
          <w:sz w:val="32"/>
          <w:szCs w:val="32"/>
          <w:highlight w:val="none"/>
        </w:rPr>
        <w:t>。</w:t>
      </w:r>
    </w:p>
    <w:p>
      <w:pPr>
        <w:spacing w:line="600" w:lineRule="exact"/>
        <w:ind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（三）国有资产占用情况说明</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学校现有公车10辆</w:t>
      </w:r>
      <w:r>
        <w:rPr>
          <w:rFonts w:hint="eastAsia" w:ascii="宋体" w:hAnsi="宋体"/>
          <w:sz w:val="32"/>
          <w:szCs w:val="32"/>
          <w:highlight w:val="none"/>
          <w:lang w:eastAsia="zh-CN"/>
        </w:rPr>
        <w:t>，</w:t>
      </w:r>
      <w:r>
        <w:rPr>
          <w:rFonts w:hint="eastAsia" w:ascii="宋体" w:hAnsi="宋体"/>
          <w:sz w:val="32"/>
          <w:szCs w:val="32"/>
          <w:highlight w:val="none"/>
        </w:rPr>
        <w:t>包括3辆普通轿车和7辆</w:t>
      </w:r>
      <w:r>
        <w:rPr>
          <w:rFonts w:hint="eastAsia" w:ascii="宋体" w:hAnsi="宋体"/>
          <w:sz w:val="32"/>
          <w:szCs w:val="32"/>
          <w:highlight w:val="none"/>
          <w:lang w:eastAsia="zh-CN"/>
        </w:rPr>
        <w:t>中大型</w:t>
      </w:r>
      <w:r>
        <w:rPr>
          <w:rFonts w:hint="eastAsia" w:ascii="宋体" w:hAnsi="宋体"/>
          <w:sz w:val="32"/>
          <w:szCs w:val="32"/>
          <w:highlight w:val="none"/>
        </w:rPr>
        <w:t>客车</w:t>
      </w:r>
      <w:r>
        <w:rPr>
          <w:rFonts w:hint="eastAsia" w:ascii="宋体" w:hAnsi="宋体"/>
          <w:sz w:val="32"/>
          <w:szCs w:val="32"/>
          <w:highlight w:val="none"/>
          <w:lang w:eastAsia="zh-CN"/>
        </w:rPr>
        <w:t>，</w:t>
      </w:r>
      <w:r>
        <w:rPr>
          <w:rFonts w:hint="eastAsia" w:ascii="宋体" w:hAnsi="宋体"/>
          <w:sz w:val="32"/>
          <w:szCs w:val="32"/>
          <w:highlight w:val="none"/>
        </w:rPr>
        <w:t>7辆</w:t>
      </w:r>
      <w:r>
        <w:rPr>
          <w:rFonts w:hint="eastAsia" w:ascii="宋体" w:hAnsi="宋体"/>
          <w:sz w:val="32"/>
          <w:szCs w:val="32"/>
          <w:highlight w:val="none"/>
          <w:lang w:eastAsia="zh-CN"/>
        </w:rPr>
        <w:t>中大型</w:t>
      </w:r>
      <w:r>
        <w:rPr>
          <w:rFonts w:hint="eastAsia" w:ascii="宋体" w:hAnsi="宋体"/>
          <w:sz w:val="32"/>
          <w:szCs w:val="32"/>
          <w:highlight w:val="none"/>
        </w:rPr>
        <w:t>客车为教学用车。</w:t>
      </w:r>
    </w:p>
    <w:p>
      <w:pPr>
        <w:widowControl/>
        <w:spacing w:line="600" w:lineRule="exact"/>
        <w:ind w:firstLine="640" w:firstLineChars="200"/>
        <w:jc w:val="left"/>
        <w:rPr>
          <w:rFonts w:ascii="仿宋_GB2312" w:hAnsi="宋体" w:eastAsia="仿宋_GB2312" w:cs="宋体"/>
          <w:b/>
          <w:kern w:val="0"/>
          <w:sz w:val="32"/>
          <w:szCs w:val="32"/>
          <w:highlight w:val="none"/>
        </w:rPr>
      </w:pPr>
      <w:r>
        <w:rPr>
          <w:rFonts w:hint="eastAsia" w:ascii="黑体" w:hAnsi="黑体" w:eastAsia="黑体" w:cs="宋体"/>
          <w:kern w:val="0"/>
          <w:sz w:val="32"/>
          <w:szCs w:val="32"/>
          <w:highlight w:val="none"/>
        </w:rPr>
        <w:t>（四）重点项目预算绩效目标等情况说明</w:t>
      </w:r>
    </w:p>
    <w:p>
      <w:pPr>
        <w:widowControl/>
        <w:spacing w:line="600" w:lineRule="exact"/>
        <w:ind w:firstLine="640" w:firstLineChars="200"/>
        <w:jc w:val="left"/>
        <w:rPr>
          <w:rFonts w:ascii="宋体" w:hAnsi="宋体"/>
          <w:sz w:val="32"/>
          <w:szCs w:val="32"/>
          <w:highlight w:val="none"/>
        </w:rPr>
      </w:pPr>
      <w:r>
        <w:rPr>
          <w:rFonts w:hint="eastAsia" w:ascii="宋体" w:hAnsi="宋体"/>
          <w:sz w:val="32"/>
          <w:szCs w:val="32"/>
          <w:highlight w:val="none"/>
          <w:lang w:eastAsia="zh-CN"/>
        </w:rPr>
        <w:t>2021年</w:t>
      </w:r>
      <w:r>
        <w:rPr>
          <w:rFonts w:hint="eastAsia" w:ascii="宋体" w:hAnsi="宋体"/>
          <w:sz w:val="32"/>
          <w:szCs w:val="32"/>
          <w:highlight w:val="none"/>
        </w:rPr>
        <w:t>我校</w:t>
      </w:r>
      <w:r>
        <w:rPr>
          <w:rFonts w:hint="eastAsia" w:ascii="宋体" w:hAnsi="宋体"/>
          <w:sz w:val="32"/>
          <w:szCs w:val="32"/>
          <w:highlight w:val="none"/>
          <w:lang w:eastAsia="zh-CN"/>
        </w:rPr>
        <w:t>部门预算200万元以上的项目共计</w:t>
      </w:r>
      <w:r>
        <w:rPr>
          <w:rFonts w:hint="eastAsia" w:ascii="宋体" w:hAnsi="宋体"/>
          <w:sz w:val="32"/>
          <w:szCs w:val="32"/>
          <w:highlight w:val="none"/>
          <w:lang w:val="en-US" w:eastAsia="zh-CN"/>
        </w:rPr>
        <w:t>23</w:t>
      </w:r>
      <w:r>
        <w:rPr>
          <w:rFonts w:hint="eastAsia" w:ascii="宋体" w:hAnsi="宋体"/>
          <w:sz w:val="32"/>
          <w:szCs w:val="32"/>
          <w:highlight w:val="none"/>
          <w:lang w:eastAsia="zh-CN"/>
        </w:rPr>
        <w:t>个，扣除人员工资经费项目后，涉及一般公共预算拨款、财政专户管理资金等的项目共计</w:t>
      </w:r>
      <w:r>
        <w:rPr>
          <w:rFonts w:hint="eastAsia" w:ascii="宋体" w:hAnsi="宋体"/>
          <w:sz w:val="32"/>
          <w:szCs w:val="32"/>
          <w:highlight w:val="none"/>
          <w:lang w:val="en-US" w:eastAsia="zh-CN"/>
        </w:rPr>
        <w:t>21</w:t>
      </w:r>
      <w:r>
        <w:rPr>
          <w:rFonts w:hint="eastAsia" w:ascii="宋体" w:hAnsi="宋体"/>
          <w:sz w:val="32"/>
          <w:szCs w:val="32"/>
          <w:highlight w:val="none"/>
          <w:lang w:eastAsia="zh-CN"/>
        </w:rPr>
        <w:t>个，涉及项目金额</w:t>
      </w:r>
      <w:r>
        <w:rPr>
          <w:rFonts w:hint="eastAsia" w:ascii="宋体" w:hAnsi="宋体"/>
          <w:sz w:val="32"/>
          <w:szCs w:val="32"/>
          <w:highlight w:val="none"/>
          <w:lang w:val="en-US" w:eastAsia="zh-CN"/>
        </w:rPr>
        <w:t>31,310.73</w:t>
      </w:r>
      <w:r>
        <w:rPr>
          <w:rFonts w:hint="eastAsia" w:ascii="宋体" w:hAnsi="宋体"/>
          <w:sz w:val="32"/>
          <w:szCs w:val="32"/>
          <w:highlight w:val="none"/>
          <w:lang w:eastAsia="zh-CN"/>
        </w:rPr>
        <w:t>万元，具体如下</w:t>
      </w:r>
      <w:r>
        <w:rPr>
          <w:rFonts w:hint="eastAsia" w:ascii="宋体" w:hAnsi="宋体"/>
          <w:sz w:val="32"/>
          <w:szCs w:val="32"/>
          <w:highlight w:val="none"/>
        </w:rPr>
        <w:t>：</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w:t>
      </w:r>
      <w:r>
        <w:rPr>
          <w:rFonts w:hint="eastAsia" w:ascii="宋体" w:hAnsi="宋体"/>
          <w:sz w:val="32"/>
          <w:szCs w:val="32"/>
          <w:highlight w:val="none"/>
          <w:lang w:val="en-US" w:eastAsia="zh-CN"/>
        </w:rPr>
        <w:t>.</w:t>
      </w:r>
      <w:r>
        <w:rPr>
          <w:rFonts w:hint="eastAsia" w:ascii="宋体" w:hAnsi="宋体"/>
          <w:sz w:val="32"/>
          <w:szCs w:val="32"/>
          <w:highlight w:val="none"/>
        </w:rPr>
        <w:t>偿还贷款项目3,280万元，资金来源：一般公共预算拨款资金安排。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2.</w:t>
      </w:r>
      <w:r>
        <w:rPr>
          <w:rFonts w:hint="eastAsia" w:ascii="宋体" w:hAnsi="宋体"/>
          <w:sz w:val="32"/>
          <w:szCs w:val="32"/>
          <w:highlight w:val="none"/>
        </w:rPr>
        <w:t>招生费用项目235万元，资金来源：纳入一般公共预算拨款收入安排180万元，纳入财政专户管理的收入安排55万元。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3.</w:t>
      </w:r>
      <w:r>
        <w:rPr>
          <w:rFonts w:hint="eastAsia" w:ascii="宋体" w:hAnsi="宋体"/>
          <w:sz w:val="32"/>
          <w:szCs w:val="32"/>
          <w:highlight w:val="none"/>
        </w:rPr>
        <w:t>2021年高等教育中央资金（资助）项目1,806.83万元，资金来源：一般公共预算拨款资金安排。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4.</w:t>
      </w:r>
      <w:r>
        <w:rPr>
          <w:rFonts w:hint="eastAsia" w:ascii="宋体" w:hAnsi="宋体"/>
          <w:sz w:val="32"/>
          <w:szCs w:val="32"/>
          <w:highlight w:val="none"/>
        </w:rPr>
        <w:t>宣传经费项目380万元，资金来源：纳入一般公共预算拨款收入安排270.97万元，纳入财政专户管理的收入安排109.03万元。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5.</w:t>
      </w:r>
      <w:r>
        <w:rPr>
          <w:rFonts w:hint="eastAsia" w:ascii="宋体" w:hAnsi="宋体"/>
          <w:sz w:val="32"/>
          <w:szCs w:val="32"/>
          <w:highlight w:val="none"/>
        </w:rPr>
        <w:t>“双高”建设经费项目6,002.03万元，资金来源：纳入一般公共预算拨款收入安排875万元，纳入财政专户管理的收入安排5,127.03万元。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6.</w:t>
      </w:r>
      <w:r>
        <w:rPr>
          <w:rFonts w:hint="eastAsia" w:ascii="宋体" w:hAnsi="宋体"/>
          <w:sz w:val="32"/>
          <w:szCs w:val="32"/>
          <w:highlight w:val="none"/>
        </w:rPr>
        <w:t>贷款利息支出项目356.55万元，资金来源：纳入一般公共预算拨款收入安排300万元，纳入财政专户管理的收入安排56.55万元。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7.</w:t>
      </w:r>
      <w:r>
        <w:rPr>
          <w:rFonts w:hint="eastAsia" w:ascii="宋体" w:hAnsi="宋体"/>
          <w:sz w:val="32"/>
          <w:szCs w:val="32"/>
          <w:highlight w:val="none"/>
        </w:rPr>
        <w:t>2021年区直普通高职院校生均拨款奖补资金(自治区资金）项目1,402万元，资金来源：全部用一般公共预算拨款资金安排。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8.</w:t>
      </w:r>
      <w:r>
        <w:rPr>
          <w:rFonts w:hint="eastAsia" w:ascii="宋体" w:hAnsi="宋体"/>
          <w:sz w:val="32"/>
          <w:szCs w:val="32"/>
          <w:highlight w:val="none"/>
        </w:rPr>
        <w:t>新校区建设项目7,230.09万元，资金来源：一般公共预算拨款资金安排。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9.</w:t>
      </w:r>
      <w:r>
        <w:rPr>
          <w:rFonts w:hint="eastAsia" w:ascii="宋体" w:hAnsi="宋体"/>
          <w:sz w:val="32"/>
          <w:szCs w:val="32"/>
          <w:highlight w:val="none"/>
        </w:rPr>
        <w:t>2021年现代职业教育发展专项经费项目1,706万元，资金来源：用一般公共预算拨款资金安排。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10.</w:t>
      </w:r>
      <w:r>
        <w:rPr>
          <w:rFonts w:hint="eastAsia" w:ascii="宋体" w:hAnsi="宋体"/>
          <w:sz w:val="32"/>
          <w:szCs w:val="32"/>
          <w:highlight w:val="none"/>
        </w:rPr>
        <w:t>办公设备购置费项目400万元，资金来源：纳入一般公共预算拨款收入安排350万元，纳入财政专户管理的收入安排50万元。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11</w:t>
      </w:r>
      <w:r>
        <w:rPr>
          <w:rFonts w:hint="eastAsia" w:ascii="宋体" w:hAnsi="宋体"/>
          <w:sz w:val="32"/>
          <w:szCs w:val="32"/>
          <w:highlight w:val="none"/>
          <w:lang w:val="en-US" w:eastAsia="zh-CN"/>
        </w:rPr>
        <w:t>.</w:t>
      </w:r>
      <w:r>
        <w:rPr>
          <w:rFonts w:hint="eastAsia" w:ascii="宋体" w:hAnsi="宋体"/>
          <w:sz w:val="32"/>
          <w:szCs w:val="32"/>
          <w:highlight w:val="none"/>
        </w:rPr>
        <w:t>图书馆新馆设备购置费项目400万元，资金来源：一般公共预算拨款资金安排。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12</w:t>
      </w:r>
      <w:r>
        <w:rPr>
          <w:rFonts w:hint="eastAsia" w:ascii="宋体" w:hAnsi="宋体"/>
          <w:sz w:val="32"/>
          <w:szCs w:val="32"/>
          <w:highlight w:val="none"/>
          <w:lang w:val="en-US" w:eastAsia="zh-CN"/>
        </w:rPr>
        <w:t>.</w:t>
      </w:r>
      <w:r>
        <w:rPr>
          <w:rFonts w:hint="eastAsia" w:ascii="宋体" w:hAnsi="宋体"/>
          <w:sz w:val="32"/>
          <w:szCs w:val="32"/>
          <w:highlight w:val="none"/>
        </w:rPr>
        <w:t>图书资料购置费项目250万元，资金来源：一般公共预算拨款资金安排。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13</w:t>
      </w:r>
      <w:r>
        <w:rPr>
          <w:rFonts w:hint="eastAsia" w:ascii="宋体" w:hAnsi="宋体"/>
          <w:sz w:val="32"/>
          <w:szCs w:val="32"/>
          <w:highlight w:val="none"/>
          <w:lang w:val="en-US" w:eastAsia="zh-CN"/>
        </w:rPr>
        <w:t>.</w:t>
      </w:r>
      <w:r>
        <w:rPr>
          <w:rFonts w:hint="eastAsia" w:ascii="宋体" w:hAnsi="宋体"/>
          <w:sz w:val="32"/>
          <w:szCs w:val="32"/>
          <w:highlight w:val="none"/>
        </w:rPr>
        <w:t>助学金项目1,395万元，资金来源：纳入财政专户管理的收入安排875万元，上年结转结余收入520万元。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14</w:t>
      </w:r>
      <w:r>
        <w:rPr>
          <w:rFonts w:hint="eastAsia" w:ascii="宋体" w:hAnsi="宋体"/>
          <w:sz w:val="32"/>
          <w:szCs w:val="32"/>
          <w:highlight w:val="none"/>
          <w:lang w:val="en-US" w:eastAsia="zh-CN"/>
        </w:rPr>
        <w:t>.</w:t>
      </w:r>
      <w:r>
        <w:rPr>
          <w:rFonts w:hint="eastAsia" w:ascii="宋体" w:hAnsi="宋体"/>
          <w:sz w:val="32"/>
          <w:szCs w:val="32"/>
          <w:highlight w:val="none"/>
        </w:rPr>
        <w:t>物业管理费项目760万元，资金来源：纳入一般公共预算拨款收入安排700万元，纳入财政专户管理的收入安排60万元。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15</w:t>
      </w:r>
      <w:r>
        <w:rPr>
          <w:rFonts w:hint="eastAsia" w:ascii="宋体" w:hAnsi="宋体"/>
          <w:sz w:val="32"/>
          <w:szCs w:val="32"/>
          <w:highlight w:val="none"/>
          <w:lang w:val="en-US" w:eastAsia="zh-CN"/>
        </w:rPr>
        <w:t>.</w:t>
      </w:r>
      <w:r>
        <w:rPr>
          <w:rFonts w:hint="eastAsia" w:ascii="宋体" w:hAnsi="宋体"/>
          <w:sz w:val="32"/>
          <w:szCs w:val="32"/>
          <w:highlight w:val="none"/>
        </w:rPr>
        <w:t>2021年本专科国家助学金自治区资金项目292.95万元，资金来源：一般公共预算拨款资金安排。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16</w:t>
      </w:r>
      <w:r>
        <w:rPr>
          <w:rFonts w:hint="eastAsia" w:ascii="宋体" w:hAnsi="宋体"/>
          <w:sz w:val="32"/>
          <w:szCs w:val="32"/>
          <w:highlight w:val="none"/>
          <w:lang w:val="en-US" w:eastAsia="zh-CN"/>
        </w:rPr>
        <w:t>.</w:t>
      </w:r>
      <w:r>
        <w:rPr>
          <w:rFonts w:hint="eastAsia" w:ascii="宋体" w:hAnsi="宋体"/>
          <w:sz w:val="32"/>
          <w:szCs w:val="32"/>
          <w:highlight w:val="none"/>
        </w:rPr>
        <w:t>2021年区直普通高职院校生均拨款奖补资金（中央资金）项目1,409万元，资金来源：全部用一般公共预算拨款资金安排。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17</w:t>
      </w:r>
      <w:r>
        <w:rPr>
          <w:rFonts w:hint="eastAsia" w:ascii="宋体" w:hAnsi="宋体"/>
          <w:sz w:val="32"/>
          <w:szCs w:val="32"/>
          <w:highlight w:val="none"/>
          <w:lang w:val="en-US" w:eastAsia="zh-CN"/>
        </w:rPr>
        <w:t>.</w:t>
      </w:r>
      <w:r>
        <w:rPr>
          <w:rFonts w:hint="eastAsia" w:ascii="宋体" w:hAnsi="宋体"/>
          <w:sz w:val="32"/>
          <w:szCs w:val="32"/>
          <w:highlight w:val="none"/>
        </w:rPr>
        <w:t>学生经费项目613.60万元，资金来源：纳入一般公共预算拨款收入安排450万元，纳入财政专户管理的收入安排163.60万元。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18</w:t>
      </w:r>
      <w:r>
        <w:rPr>
          <w:rFonts w:hint="eastAsia" w:ascii="宋体" w:hAnsi="宋体"/>
          <w:sz w:val="32"/>
          <w:szCs w:val="32"/>
          <w:highlight w:val="none"/>
          <w:lang w:val="en-US" w:eastAsia="zh-CN"/>
        </w:rPr>
        <w:t>.</w:t>
      </w:r>
      <w:r>
        <w:rPr>
          <w:rFonts w:hint="eastAsia" w:ascii="宋体" w:hAnsi="宋体"/>
          <w:sz w:val="32"/>
          <w:szCs w:val="32"/>
          <w:highlight w:val="none"/>
        </w:rPr>
        <w:t>高水平高职学校和专业建设项目1,553万元，资金来源：一般公共预算拨款资金安排。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19</w:t>
      </w:r>
      <w:r>
        <w:rPr>
          <w:rFonts w:hint="eastAsia" w:ascii="宋体" w:hAnsi="宋体"/>
          <w:sz w:val="32"/>
          <w:szCs w:val="32"/>
          <w:highlight w:val="none"/>
          <w:lang w:val="en-US" w:eastAsia="zh-CN"/>
        </w:rPr>
        <w:t>.</w:t>
      </w:r>
      <w:r>
        <w:rPr>
          <w:rFonts w:hint="eastAsia" w:ascii="宋体" w:hAnsi="宋体"/>
          <w:sz w:val="32"/>
          <w:szCs w:val="32"/>
          <w:highlight w:val="none"/>
        </w:rPr>
        <w:t>培训自考分成及成本支出项目722.08万元，资金来源：纳入一般公共预算拨款收入安排100万元，纳入财政专户管理的收入安排622.08万元。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20</w:t>
      </w:r>
      <w:r>
        <w:rPr>
          <w:rFonts w:hint="eastAsia" w:ascii="宋体" w:hAnsi="宋体"/>
          <w:sz w:val="32"/>
          <w:szCs w:val="32"/>
          <w:highlight w:val="none"/>
          <w:lang w:val="en-US" w:eastAsia="zh-CN"/>
        </w:rPr>
        <w:t>.</w:t>
      </w:r>
      <w:r>
        <w:rPr>
          <w:rFonts w:hint="eastAsia" w:ascii="宋体" w:hAnsi="宋体"/>
          <w:sz w:val="32"/>
          <w:szCs w:val="32"/>
          <w:highlight w:val="none"/>
        </w:rPr>
        <w:t>智慧党建中心项目500万元，资金来源：一般公共预算拨款资金安排。</w:t>
      </w:r>
    </w:p>
    <w:p>
      <w:pPr>
        <w:widowControl/>
        <w:spacing w:line="600" w:lineRule="exact"/>
        <w:ind w:firstLine="640" w:firstLineChars="200"/>
        <w:jc w:val="left"/>
        <w:rPr>
          <w:rFonts w:ascii="宋体" w:hAnsi="宋体"/>
          <w:sz w:val="32"/>
          <w:szCs w:val="32"/>
          <w:highlight w:val="none"/>
        </w:rPr>
      </w:pPr>
      <w:r>
        <w:rPr>
          <w:rFonts w:hint="eastAsia" w:ascii="宋体" w:hAnsi="宋体"/>
          <w:sz w:val="32"/>
          <w:szCs w:val="32"/>
          <w:highlight w:val="none"/>
        </w:rPr>
        <w:t>21</w:t>
      </w:r>
      <w:r>
        <w:rPr>
          <w:rFonts w:hint="eastAsia" w:ascii="宋体" w:hAnsi="宋体"/>
          <w:sz w:val="32"/>
          <w:szCs w:val="32"/>
          <w:highlight w:val="none"/>
          <w:lang w:val="en-US" w:eastAsia="zh-CN"/>
        </w:rPr>
        <w:t>.</w:t>
      </w:r>
      <w:r>
        <w:rPr>
          <w:rFonts w:hint="eastAsia" w:ascii="宋体" w:hAnsi="宋体"/>
          <w:sz w:val="32"/>
          <w:szCs w:val="32"/>
          <w:highlight w:val="none"/>
        </w:rPr>
        <w:t>专业课程建设费项目616.60万元，资金来源：纳入一般公共预算拨款收入安排300万元，纳入财政专户管理的收入安排316.60万元。</w:t>
      </w:r>
    </w:p>
    <w:p>
      <w:pPr>
        <w:widowControl/>
        <w:spacing w:line="600" w:lineRule="exact"/>
        <w:ind w:firstLine="640" w:firstLineChars="200"/>
        <w:jc w:val="left"/>
        <w:rPr>
          <w:rFonts w:ascii="宋体" w:hAnsi="宋体"/>
          <w:sz w:val="32"/>
          <w:szCs w:val="32"/>
          <w:highlight w:val="none"/>
        </w:rPr>
      </w:pPr>
    </w:p>
    <w:p>
      <w:pPr>
        <w:widowControl/>
        <w:spacing w:line="600" w:lineRule="exact"/>
        <w:ind w:firstLine="640" w:firstLineChars="200"/>
        <w:jc w:val="left"/>
        <w:rPr>
          <w:rFonts w:ascii="宋体" w:hAnsi="宋体"/>
          <w:sz w:val="32"/>
          <w:szCs w:val="32"/>
          <w:highlight w:val="none"/>
        </w:rPr>
      </w:pPr>
    </w:p>
    <w:p>
      <w:pPr>
        <w:widowControl/>
        <w:spacing w:line="600" w:lineRule="exact"/>
        <w:ind w:firstLine="643" w:firstLineChars="200"/>
        <w:jc w:val="left"/>
        <w:rPr>
          <w:rFonts w:ascii="黑体" w:hAnsi="黑体" w:eastAsia="黑体" w:cs="宋体"/>
          <w:b/>
          <w:bCs/>
          <w:kern w:val="0"/>
          <w:sz w:val="32"/>
          <w:szCs w:val="32"/>
          <w:highlight w:val="none"/>
        </w:rPr>
      </w:pPr>
      <w:r>
        <w:rPr>
          <w:rFonts w:hint="eastAsia" w:ascii="黑体" w:hAnsi="黑体" w:eastAsia="黑体" w:cs="宋体"/>
          <w:b/>
          <w:bCs/>
          <w:kern w:val="0"/>
          <w:sz w:val="32"/>
          <w:szCs w:val="32"/>
          <w:highlight w:val="none"/>
        </w:rPr>
        <w:t>第三部分：名词解释</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一、财政拨款收入：指自治区财政部门当年拨付的资金。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二、事业收入：指事业单位开展专业业务活动及辅助活动所取得的收入。</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三、经营收入：指事业单位在专业业务活动及其辅助活动之外开展非独立核算经营活动取得的收入。</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四、其他收入：指除上述“财政拨款收入”、“事业收入”、“经营收入”等以外的收入。</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六、年初结转和结余：指以前年度尚未完成、结转到本年按有关规定继续使用的资金。</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七、结余分配：指事业单位按规定提取的职工福利基金、事业基金和缴纳的所得税，以及建设单位按规定应交回的基本建设竣工项目结余资金。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八、年末结转和结余：指本年度或以前年度预算安排、因客观条件发生变化无法按原计划实施，需要延迟到以后年度按有关规定继续使用的资金。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九、基本支出：指为保障机构正常运转、完成日常工作任务而发生的人员支出和公用支出。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十、项目支出：指在基本支出之外为完成特定行政任务和事业发展目标所发生的支出。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十一、经营支出：指事业单位在专业业务活动及其辅助活动之外开展非独立核算经营活动发生的支出。</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四、政府性基金：是指各级人民政府及其所属部门根据法律、行政法规规定并经国务院或财政部批准，为支持特定公共基础设施建设和公共事业发展，向公民、法人和其他组织无偿征收的具有专项用途的财政资金。</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十五、社会保障和就业支出：指用于机关和所属事业单位在社会保障与就业方面的支出。</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十六、医疗卫生支出：指行政事业单位医疗卫生与计划生育管理方面的支出。</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十七、住房保障支出：行政事业单位按照《住房公积金管理条例》的规定，由单位及其在职职工缴存的长期住房储金。</w:t>
      </w:r>
    </w:p>
    <w:p>
      <w:pPr>
        <w:widowControl/>
        <w:spacing w:line="600" w:lineRule="exact"/>
        <w:ind w:firstLine="640" w:firstLineChars="200"/>
        <w:jc w:val="left"/>
        <w:rPr>
          <w:rFonts w:ascii="宋体" w:hAnsi="宋体"/>
          <w:sz w:val="32"/>
          <w:szCs w:val="32"/>
          <w:highlight w:val="none"/>
        </w:rPr>
      </w:pPr>
      <w:r>
        <w:rPr>
          <w:rFonts w:hint="eastAsia" w:ascii="宋体" w:hAnsi="宋体"/>
          <w:sz w:val="32"/>
          <w:szCs w:val="32"/>
          <w:highlight w:val="none"/>
        </w:rPr>
        <w:t>十八、机关事业单位基本养老保险缴费支出：指机关事业单位实施养老保险制度由单位缴纳的基本养老保险费支出。</w:t>
      </w:r>
    </w:p>
    <w:p>
      <w:pPr>
        <w:widowControl/>
        <w:spacing w:line="600" w:lineRule="exact"/>
        <w:ind w:firstLine="643" w:firstLineChars="200"/>
        <w:jc w:val="left"/>
        <w:rPr>
          <w:rFonts w:ascii="黑体" w:hAnsi="黑体" w:eastAsia="黑体" w:cs="宋体"/>
          <w:b/>
          <w:bCs/>
          <w:kern w:val="0"/>
          <w:sz w:val="32"/>
          <w:szCs w:val="32"/>
          <w:highlight w:val="none"/>
        </w:rPr>
      </w:pPr>
    </w:p>
    <w:p>
      <w:pPr>
        <w:widowControl/>
        <w:spacing w:line="600" w:lineRule="exact"/>
        <w:ind w:firstLine="643" w:firstLineChars="200"/>
        <w:jc w:val="left"/>
        <w:rPr>
          <w:rFonts w:ascii="黑体" w:hAnsi="黑体" w:eastAsia="黑体" w:cs="宋体"/>
          <w:b/>
          <w:bCs/>
          <w:kern w:val="0"/>
          <w:sz w:val="32"/>
          <w:szCs w:val="32"/>
          <w:highlight w:val="none"/>
        </w:rPr>
      </w:pPr>
    </w:p>
    <w:p>
      <w:pPr>
        <w:widowControl/>
        <w:spacing w:line="600" w:lineRule="exact"/>
        <w:ind w:firstLine="643" w:firstLineChars="200"/>
        <w:jc w:val="left"/>
        <w:rPr>
          <w:rFonts w:ascii="宋体" w:hAnsi="宋体" w:eastAsia="宋体" w:cs="宋体"/>
          <w:kern w:val="0"/>
          <w:sz w:val="24"/>
          <w:szCs w:val="24"/>
          <w:highlight w:val="none"/>
        </w:rPr>
      </w:pPr>
      <w:r>
        <w:rPr>
          <w:rFonts w:hint="eastAsia" w:ascii="黑体" w:hAnsi="黑体" w:eastAsia="黑体" w:cs="宋体"/>
          <w:b/>
          <w:bCs/>
          <w:kern w:val="0"/>
          <w:sz w:val="32"/>
          <w:szCs w:val="32"/>
          <w:highlight w:val="none"/>
        </w:rPr>
        <w:t>第四部分：广西建设职业技术学院2021年部门预算报表</w:t>
      </w:r>
    </w:p>
    <w:p>
      <w:pPr>
        <w:spacing w:line="600" w:lineRule="exact"/>
        <w:ind w:firstLine="640" w:firstLineChars="200"/>
        <w:jc w:val="left"/>
        <w:rPr>
          <w:rFonts w:hint="eastAsia" w:ascii="宋体" w:hAnsi="宋体"/>
          <w:b w:val="0"/>
          <w:bCs w:val="0"/>
          <w:sz w:val="32"/>
          <w:szCs w:val="32"/>
          <w:highlight w:val="none"/>
        </w:rPr>
      </w:pPr>
    </w:p>
    <w:p>
      <w:pPr>
        <w:spacing w:line="600" w:lineRule="exact"/>
        <w:ind w:firstLine="640" w:firstLineChars="200"/>
        <w:jc w:val="left"/>
        <w:rPr>
          <w:rFonts w:ascii="宋体" w:hAnsi="宋体"/>
          <w:b w:val="0"/>
          <w:bCs w:val="0"/>
          <w:sz w:val="32"/>
          <w:szCs w:val="32"/>
          <w:highlight w:val="none"/>
        </w:rPr>
      </w:pPr>
      <w:r>
        <w:rPr>
          <w:rFonts w:hint="eastAsia" w:ascii="宋体" w:hAnsi="宋体"/>
          <w:b w:val="0"/>
          <w:bCs w:val="0"/>
          <w:sz w:val="32"/>
          <w:szCs w:val="32"/>
          <w:highlight w:val="none"/>
        </w:rPr>
        <w:t>一、部门收支总体情况表</w:t>
      </w:r>
    </w:p>
    <w:p>
      <w:pPr>
        <w:ind w:firstLine="640" w:firstLineChars="200"/>
        <w:jc w:val="left"/>
        <w:rPr>
          <w:rFonts w:ascii="宋体" w:hAnsi="宋体"/>
          <w:b w:val="0"/>
          <w:bCs w:val="0"/>
          <w:sz w:val="32"/>
          <w:szCs w:val="32"/>
          <w:highlight w:val="none"/>
        </w:rPr>
      </w:pPr>
      <w:r>
        <w:rPr>
          <w:rFonts w:hint="eastAsia" w:ascii="宋体" w:hAnsi="宋体"/>
          <w:b w:val="0"/>
          <w:bCs w:val="0"/>
          <w:sz w:val="32"/>
          <w:szCs w:val="32"/>
          <w:highlight w:val="none"/>
        </w:rPr>
        <w:t>二、部门收入总体情况表</w:t>
      </w:r>
    </w:p>
    <w:p>
      <w:pPr>
        <w:ind w:firstLine="640" w:firstLineChars="200"/>
        <w:jc w:val="left"/>
        <w:rPr>
          <w:rFonts w:ascii="宋体" w:hAnsi="宋体"/>
          <w:b w:val="0"/>
          <w:bCs w:val="0"/>
          <w:sz w:val="32"/>
          <w:szCs w:val="32"/>
          <w:highlight w:val="none"/>
        </w:rPr>
      </w:pPr>
      <w:r>
        <w:rPr>
          <w:rFonts w:hint="eastAsia" w:ascii="宋体" w:hAnsi="宋体"/>
          <w:b w:val="0"/>
          <w:bCs w:val="0"/>
          <w:sz w:val="32"/>
          <w:szCs w:val="32"/>
          <w:highlight w:val="none"/>
        </w:rPr>
        <w:t>三、部门支出总体情况表</w:t>
      </w:r>
    </w:p>
    <w:p>
      <w:pPr>
        <w:ind w:firstLine="640" w:firstLineChars="200"/>
        <w:jc w:val="left"/>
        <w:rPr>
          <w:rFonts w:ascii="宋体" w:hAnsi="宋体"/>
          <w:b w:val="0"/>
          <w:bCs w:val="0"/>
          <w:sz w:val="32"/>
          <w:szCs w:val="32"/>
          <w:highlight w:val="none"/>
        </w:rPr>
      </w:pPr>
      <w:r>
        <w:rPr>
          <w:rFonts w:hint="eastAsia" w:ascii="宋体" w:hAnsi="宋体"/>
          <w:b w:val="0"/>
          <w:bCs w:val="0"/>
          <w:sz w:val="32"/>
          <w:szCs w:val="32"/>
          <w:highlight w:val="none"/>
        </w:rPr>
        <w:t>四、财政拨款收支总体情况表</w:t>
      </w:r>
    </w:p>
    <w:p>
      <w:pPr>
        <w:spacing w:line="600" w:lineRule="exact"/>
        <w:ind w:firstLine="640" w:firstLineChars="200"/>
        <w:jc w:val="left"/>
        <w:rPr>
          <w:rFonts w:ascii="宋体" w:hAnsi="宋体" w:eastAsia="宋体" w:cs="宋体"/>
          <w:b w:val="0"/>
          <w:bCs w:val="0"/>
          <w:color w:val="000000"/>
          <w:kern w:val="0"/>
          <w:sz w:val="20"/>
          <w:szCs w:val="20"/>
          <w:highlight w:val="none"/>
        </w:rPr>
      </w:pPr>
      <w:r>
        <w:rPr>
          <w:rFonts w:hint="eastAsia" w:ascii="宋体" w:hAnsi="宋体"/>
          <w:b w:val="0"/>
          <w:bCs w:val="0"/>
          <w:sz w:val="32"/>
          <w:szCs w:val="32"/>
          <w:highlight w:val="none"/>
        </w:rPr>
        <w:t>五、一般公共预算支出情况表</w:t>
      </w:r>
    </w:p>
    <w:p>
      <w:pPr>
        <w:ind w:firstLine="640" w:firstLineChars="200"/>
        <w:jc w:val="left"/>
        <w:rPr>
          <w:rFonts w:ascii="宋体" w:hAnsi="宋体" w:eastAsia="宋体" w:cs="宋体"/>
          <w:b w:val="0"/>
          <w:bCs w:val="0"/>
          <w:color w:val="000000"/>
          <w:kern w:val="0"/>
          <w:sz w:val="20"/>
          <w:szCs w:val="20"/>
          <w:highlight w:val="none"/>
        </w:rPr>
      </w:pPr>
      <w:r>
        <w:rPr>
          <w:rFonts w:hint="eastAsia" w:ascii="宋体" w:hAnsi="宋体"/>
          <w:b w:val="0"/>
          <w:bCs w:val="0"/>
          <w:sz w:val="32"/>
          <w:szCs w:val="32"/>
          <w:highlight w:val="none"/>
        </w:rPr>
        <w:t>六、一般公共预算基本支出情况表</w:t>
      </w:r>
    </w:p>
    <w:p>
      <w:pPr>
        <w:spacing w:line="600" w:lineRule="exact"/>
        <w:ind w:firstLine="640" w:firstLineChars="200"/>
        <w:jc w:val="left"/>
        <w:rPr>
          <w:rFonts w:ascii="宋体" w:hAnsi="宋体" w:eastAsia="宋体" w:cs="宋体"/>
          <w:b w:val="0"/>
          <w:bCs w:val="0"/>
          <w:color w:val="000000"/>
          <w:kern w:val="0"/>
          <w:sz w:val="20"/>
          <w:szCs w:val="20"/>
          <w:highlight w:val="none"/>
        </w:rPr>
      </w:pPr>
      <w:r>
        <w:rPr>
          <w:rFonts w:hint="eastAsia" w:ascii="宋体" w:hAnsi="宋体"/>
          <w:b w:val="0"/>
          <w:bCs w:val="0"/>
          <w:sz w:val="32"/>
          <w:szCs w:val="32"/>
          <w:highlight w:val="none"/>
        </w:rPr>
        <w:t>七、一般公共预算“三公”经费支出情况表</w:t>
      </w:r>
    </w:p>
    <w:p>
      <w:pPr>
        <w:spacing w:line="600" w:lineRule="exact"/>
        <w:ind w:firstLine="640" w:firstLineChars="200"/>
        <w:jc w:val="left"/>
        <w:rPr>
          <w:rFonts w:hint="eastAsia" w:ascii="宋体" w:hAnsi="宋体"/>
          <w:b w:val="0"/>
          <w:bCs w:val="0"/>
          <w:sz w:val="32"/>
          <w:szCs w:val="32"/>
          <w:highlight w:val="none"/>
        </w:rPr>
      </w:pPr>
      <w:r>
        <w:rPr>
          <w:rFonts w:hint="eastAsia" w:ascii="宋体" w:hAnsi="宋体"/>
          <w:b w:val="0"/>
          <w:bCs w:val="0"/>
          <w:sz w:val="32"/>
          <w:szCs w:val="32"/>
          <w:highlight w:val="none"/>
        </w:rPr>
        <w:t>八、政府性基金预算支出情况表</w:t>
      </w:r>
    </w:p>
    <w:p>
      <w:pPr>
        <w:spacing w:line="600" w:lineRule="exact"/>
        <w:ind w:firstLine="640" w:firstLineChars="200"/>
        <w:jc w:val="left"/>
        <w:rPr>
          <w:rFonts w:hint="eastAsia" w:ascii="宋体" w:hAnsi="宋体"/>
          <w:b w:val="0"/>
          <w:bCs w:val="0"/>
          <w:sz w:val="32"/>
          <w:szCs w:val="32"/>
          <w:highlight w:val="none"/>
        </w:rPr>
      </w:pPr>
      <w:r>
        <w:rPr>
          <w:rFonts w:hint="eastAsia" w:ascii="宋体" w:hAnsi="宋体"/>
          <w:b w:val="0"/>
          <w:bCs w:val="0"/>
          <w:sz w:val="32"/>
          <w:szCs w:val="32"/>
          <w:highlight w:val="none"/>
        </w:rPr>
        <w:t>上述报表详见附件。</w:t>
      </w:r>
    </w:p>
    <w:p>
      <w:pPr>
        <w:spacing w:line="600" w:lineRule="exact"/>
        <w:ind w:firstLine="640" w:firstLineChars="200"/>
        <w:jc w:val="left"/>
        <w:rPr>
          <w:rFonts w:hint="eastAsia" w:ascii="宋体" w:hAnsi="宋体"/>
          <w:b w:val="0"/>
          <w:bCs w:val="0"/>
          <w:sz w:val="32"/>
          <w:szCs w:val="32"/>
          <w:highlight w:val="none"/>
        </w:rPr>
      </w:pPr>
    </w:p>
    <w:p>
      <w:pPr>
        <w:spacing w:line="600" w:lineRule="exact"/>
        <w:ind w:firstLine="640" w:firstLineChars="200"/>
        <w:jc w:val="left"/>
        <w:rPr>
          <w:rFonts w:hint="eastAsia" w:ascii="宋体" w:hAnsi="宋体"/>
          <w:b w:val="0"/>
          <w:bCs w:val="0"/>
          <w:sz w:val="32"/>
          <w:szCs w:val="32"/>
          <w:highlight w:val="none"/>
        </w:rPr>
      </w:pPr>
    </w:p>
    <w:p>
      <w:pPr>
        <w:spacing w:line="600" w:lineRule="exact"/>
        <w:ind w:firstLine="640" w:firstLineChars="200"/>
        <w:jc w:val="right"/>
        <w:rPr>
          <w:rFonts w:ascii="宋体" w:hAnsi="宋体"/>
          <w:sz w:val="32"/>
          <w:szCs w:val="32"/>
          <w:highlight w:val="none"/>
        </w:rPr>
      </w:pPr>
    </w:p>
    <w:sectPr>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7E9E"/>
    <w:rsid w:val="00043081"/>
    <w:rsid w:val="00065370"/>
    <w:rsid w:val="000A1221"/>
    <w:rsid w:val="000B1B08"/>
    <w:rsid w:val="000B5F5F"/>
    <w:rsid w:val="000B671B"/>
    <w:rsid w:val="000C270D"/>
    <w:rsid w:val="000D5CBE"/>
    <w:rsid w:val="000F0272"/>
    <w:rsid w:val="000F1702"/>
    <w:rsid w:val="00101C6A"/>
    <w:rsid w:val="001205C6"/>
    <w:rsid w:val="00130AD2"/>
    <w:rsid w:val="00133484"/>
    <w:rsid w:val="0014493C"/>
    <w:rsid w:val="001521FC"/>
    <w:rsid w:val="00152E57"/>
    <w:rsid w:val="00172A27"/>
    <w:rsid w:val="0018170C"/>
    <w:rsid w:val="00186557"/>
    <w:rsid w:val="00196FDE"/>
    <w:rsid w:val="001A31D0"/>
    <w:rsid w:val="001C0062"/>
    <w:rsid w:val="001F15BE"/>
    <w:rsid w:val="00210868"/>
    <w:rsid w:val="00261B61"/>
    <w:rsid w:val="00265387"/>
    <w:rsid w:val="00272638"/>
    <w:rsid w:val="00286150"/>
    <w:rsid w:val="00293FEB"/>
    <w:rsid w:val="002A376D"/>
    <w:rsid w:val="002A75CF"/>
    <w:rsid w:val="002B4110"/>
    <w:rsid w:val="002C01D5"/>
    <w:rsid w:val="002E5AFC"/>
    <w:rsid w:val="002F5298"/>
    <w:rsid w:val="002F660B"/>
    <w:rsid w:val="0031282D"/>
    <w:rsid w:val="00337BFD"/>
    <w:rsid w:val="003426ED"/>
    <w:rsid w:val="003518D9"/>
    <w:rsid w:val="00355DCE"/>
    <w:rsid w:val="003969C1"/>
    <w:rsid w:val="003D284A"/>
    <w:rsid w:val="004474DF"/>
    <w:rsid w:val="00456F5D"/>
    <w:rsid w:val="004760F2"/>
    <w:rsid w:val="00494051"/>
    <w:rsid w:val="004C4FF0"/>
    <w:rsid w:val="00511B8E"/>
    <w:rsid w:val="0051615A"/>
    <w:rsid w:val="005362F3"/>
    <w:rsid w:val="00571BEC"/>
    <w:rsid w:val="005B0E7F"/>
    <w:rsid w:val="005C780D"/>
    <w:rsid w:val="005F656E"/>
    <w:rsid w:val="005F7DA3"/>
    <w:rsid w:val="006008A5"/>
    <w:rsid w:val="00621738"/>
    <w:rsid w:val="00630785"/>
    <w:rsid w:val="006361DC"/>
    <w:rsid w:val="00640AEC"/>
    <w:rsid w:val="006514D5"/>
    <w:rsid w:val="00653324"/>
    <w:rsid w:val="00667A4C"/>
    <w:rsid w:val="00696453"/>
    <w:rsid w:val="006A6DFD"/>
    <w:rsid w:val="006B071C"/>
    <w:rsid w:val="006C5BC6"/>
    <w:rsid w:val="006D3E0F"/>
    <w:rsid w:val="006F37F1"/>
    <w:rsid w:val="007210EF"/>
    <w:rsid w:val="00725645"/>
    <w:rsid w:val="0072789E"/>
    <w:rsid w:val="0074785E"/>
    <w:rsid w:val="00783AA1"/>
    <w:rsid w:val="00786222"/>
    <w:rsid w:val="00786E46"/>
    <w:rsid w:val="007C413B"/>
    <w:rsid w:val="007C5AFF"/>
    <w:rsid w:val="007D5335"/>
    <w:rsid w:val="007E481B"/>
    <w:rsid w:val="00803C08"/>
    <w:rsid w:val="00804382"/>
    <w:rsid w:val="008174C9"/>
    <w:rsid w:val="00843364"/>
    <w:rsid w:val="00867FCF"/>
    <w:rsid w:val="00874D96"/>
    <w:rsid w:val="008A7DF9"/>
    <w:rsid w:val="008D5F21"/>
    <w:rsid w:val="008D7EC1"/>
    <w:rsid w:val="008D7F28"/>
    <w:rsid w:val="008E1621"/>
    <w:rsid w:val="008E2558"/>
    <w:rsid w:val="00900410"/>
    <w:rsid w:val="00902157"/>
    <w:rsid w:val="009166D2"/>
    <w:rsid w:val="00944DA5"/>
    <w:rsid w:val="00955101"/>
    <w:rsid w:val="00957FE5"/>
    <w:rsid w:val="0097558E"/>
    <w:rsid w:val="00980690"/>
    <w:rsid w:val="0099048F"/>
    <w:rsid w:val="009920D9"/>
    <w:rsid w:val="009B1796"/>
    <w:rsid w:val="009C11C1"/>
    <w:rsid w:val="009C1792"/>
    <w:rsid w:val="009F0160"/>
    <w:rsid w:val="009F7F58"/>
    <w:rsid w:val="00A17FE7"/>
    <w:rsid w:val="00A43908"/>
    <w:rsid w:val="00A45231"/>
    <w:rsid w:val="00A540C9"/>
    <w:rsid w:val="00A86ACD"/>
    <w:rsid w:val="00AA7074"/>
    <w:rsid w:val="00AC06DA"/>
    <w:rsid w:val="00AC35AB"/>
    <w:rsid w:val="00AD094F"/>
    <w:rsid w:val="00B46379"/>
    <w:rsid w:val="00B47802"/>
    <w:rsid w:val="00B626C3"/>
    <w:rsid w:val="00B648AB"/>
    <w:rsid w:val="00B772E7"/>
    <w:rsid w:val="00BB4894"/>
    <w:rsid w:val="00BE3014"/>
    <w:rsid w:val="00C50452"/>
    <w:rsid w:val="00C64A7A"/>
    <w:rsid w:val="00C75D9E"/>
    <w:rsid w:val="00CC3489"/>
    <w:rsid w:val="00CE730E"/>
    <w:rsid w:val="00D06DA8"/>
    <w:rsid w:val="00D33387"/>
    <w:rsid w:val="00D551D8"/>
    <w:rsid w:val="00D866DB"/>
    <w:rsid w:val="00D87DAB"/>
    <w:rsid w:val="00D92711"/>
    <w:rsid w:val="00DB1B7E"/>
    <w:rsid w:val="00DB227F"/>
    <w:rsid w:val="00DC2DFC"/>
    <w:rsid w:val="00DD00E0"/>
    <w:rsid w:val="00DD4FD0"/>
    <w:rsid w:val="00DE05F6"/>
    <w:rsid w:val="00DF6518"/>
    <w:rsid w:val="00E21124"/>
    <w:rsid w:val="00E248F9"/>
    <w:rsid w:val="00E27613"/>
    <w:rsid w:val="00E3024E"/>
    <w:rsid w:val="00E618E9"/>
    <w:rsid w:val="00E704CB"/>
    <w:rsid w:val="00E8378D"/>
    <w:rsid w:val="00EE107A"/>
    <w:rsid w:val="00EE3FAF"/>
    <w:rsid w:val="00EF111B"/>
    <w:rsid w:val="00EF749D"/>
    <w:rsid w:val="00F11822"/>
    <w:rsid w:val="00F176BC"/>
    <w:rsid w:val="00F31BC1"/>
    <w:rsid w:val="00F34569"/>
    <w:rsid w:val="00F61F64"/>
    <w:rsid w:val="00F63D60"/>
    <w:rsid w:val="00F65DE4"/>
    <w:rsid w:val="00F67E1A"/>
    <w:rsid w:val="00F82565"/>
    <w:rsid w:val="00F833BE"/>
    <w:rsid w:val="00F86210"/>
    <w:rsid w:val="00F873FA"/>
    <w:rsid w:val="00FC7FB8"/>
    <w:rsid w:val="00FD58D7"/>
    <w:rsid w:val="00FF5F00"/>
    <w:rsid w:val="011D6F65"/>
    <w:rsid w:val="01E43788"/>
    <w:rsid w:val="02EE72DB"/>
    <w:rsid w:val="0378702A"/>
    <w:rsid w:val="04741F08"/>
    <w:rsid w:val="07F65022"/>
    <w:rsid w:val="08117F7B"/>
    <w:rsid w:val="098F47A4"/>
    <w:rsid w:val="0B846EBA"/>
    <w:rsid w:val="0BE52CDC"/>
    <w:rsid w:val="0E323C4D"/>
    <w:rsid w:val="0EF9218B"/>
    <w:rsid w:val="110C724B"/>
    <w:rsid w:val="1172283A"/>
    <w:rsid w:val="144B4B14"/>
    <w:rsid w:val="14A8613D"/>
    <w:rsid w:val="15F1357D"/>
    <w:rsid w:val="186953D3"/>
    <w:rsid w:val="1A1362E5"/>
    <w:rsid w:val="1B3E36DD"/>
    <w:rsid w:val="1CEB2361"/>
    <w:rsid w:val="203361E8"/>
    <w:rsid w:val="252C257A"/>
    <w:rsid w:val="26F43BBC"/>
    <w:rsid w:val="27B21600"/>
    <w:rsid w:val="2930755F"/>
    <w:rsid w:val="2B75444A"/>
    <w:rsid w:val="2EBA3C65"/>
    <w:rsid w:val="3096454F"/>
    <w:rsid w:val="30DB41ED"/>
    <w:rsid w:val="31730177"/>
    <w:rsid w:val="3207539B"/>
    <w:rsid w:val="32851A53"/>
    <w:rsid w:val="34C74B5C"/>
    <w:rsid w:val="356E64CD"/>
    <w:rsid w:val="398F0EE9"/>
    <w:rsid w:val="3B1E6CD6"/>
    <w:rsid w:val="3C28785A"/>
    <w:rsid w:val="401F1A9C"/>
    <w:rsid w:val="41521C53"/>
    <w:rsid w:val="423C6DF6"/>
    <w:rsid w:val="426772B8"/>
    <w:rsid w:val="44977D57"/>
    <w:rsid w:val="45621688"/>
    <w:rsid w:val="469F15E1"/>
    <w:rsid w:val="47123A8D"/>
    <w:rsid w:val="47817460"/>
    <w:rsid w:val="4823129C"/>
    <w:rsid w:val="4A132163"/>
    <w:rsid w:val="4AFE0EDD"/>
    <w:rsid w:val="4BA53300"/>
    <w:rsid w:val="4CE70A67"/>
    <w:rsid w:val="4D0F5025"/>
    <w:rsid w:val="51840CA1"/>
    <w:rsid w:val="51970CB3"/>
    <w:rsid w:val="53C93350"/>
    <w:rsid w:val="5571331F"/>
    <w:rsid w:val="574659BC"/>
    <w:rsid w:val="57C266CF"/>
    <w:rsid w:val="57F9173E"/>
    <w:rsid w:val="584763C4"/>
    <w:rsid w:val="5BB7057A"/>
    <w:rsid w:val="5BE6762D"/>
    <w:rsid w:val="5C4219C2"/>
    <w:rsid w:val="66037566"/>
    <w:rsid w:val="6669112C"/>
    <w:rsid w:val="66EE4758"/>
    <w:rsid w:val="673C7DE7"/>
    <w:rsid w:val="68366927"/>
    <w:rsid w:val="68B40CF1"/>
    <w:rsid w:val="6B297785"/>
    <w:rsid w:val="6B9B0707"/>
    <w:rsid w:val="6C917FAD"/>
    <w:rsid w:val="6F271119"/>
    <w:rsid w:val="6F693EAB"/>
    <w:rsid w:val="6F8C6A3F"/>
    <w:rsid w:val="6FBB1B0C"/>
    <w:rsid w:val="708E78CC"/>
    <w:rsid w:val="70ED75FE"/>
    <w:rsid w:val="772F5D2C"/>
    <w:rsid w:val="781C6FA6"/>
    <w:rsid w:val="7A89390D"/>
    <w:rsid w:val="7C964071"/>
    <w:rsid w:val="7DD22CF3"/>
    <w:rsid w:val="7FE85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Times New Roman"/>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qFormat/>
    <w:uiPriority w:val="0"/>
    <w:rPr>
      <w:rFonts w:hint="default"/>
      <w:sz w:val="24"/>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纯文本 Char"/>
    <w:basedOn w:val="7"/>
    <w:link w:val="2"/>
    <w:qFormat/>
    <w:uiPriority w:val="0"/>
    <w:rPr>
      <w:rFonts w:ascii="宋体" w:hAnsi="Courier New" w:eastAsia="宋体" w:cs="Times New Roman"/>
      <w:szCs w:val="21"/>
    </w:rPr>
  </w:style>
  <w:style w:type="character" w:customStyle="1" w:styleId="13">
    <w:name w:val="批注框文本 Char"/>
    <w:basedOn w:val="7"/>
    <w:link w:val="3"/>
    <w:semiHidden/>
    <w:qFormat/>
    <w:uiPriority w:val="99"/>
    <w:rPr>
      <w:sz w:val="18"/>
      <w:szCs w:val="18"/>
    </w:rPr>
  </w:style>
  <w:style w:type="character" w:customStyle="1" w:styleId="14">
    <w:name w:val="font01"/>
    <w:basedOn w:val="7"/>
    <w:qFormat/>
    <w:uiPriority w:val="0"/>
    <w:rPr>
      <w:rFonts w:hint="eastAsia" w:ascii="宋体" w:hAnsi="宋体" w:eastAsia="宋体" w:cs="宋体"/>
      <w:color w:val="000000"/>
      <w:sz w:val="20"/>
      <w:szCs w:val="20"/>
      <w:u w:val="none"/>
    </w:rPr>
  </w:style>
  <w:style w:type="character" w:customStyle="1" w:styleId="15">
    <w:name w:val="font31"/>
    <w:basedOn w:val="7"/>
    <w:qFormat/>
    <w:uiPriority w:val="0"/>
    <w:rPr>
      <w:rFonts w:hint="eastAsia" w:ascii="宋体" w:hAnsi="宋体" w:eastAsia="宋体" w:cs="宋体"/>
      <w:b/>
      <w:color w:val="000000"/>
      <w:sz w:val="20"/>
      <w:szCs w:val="20"/>
      <w:u w:val="none"/>
    </w:rPr>
  </w:style>
  <w:style w:type="character" w:customStyle="1" w:styleId="16">
    <w:name w:val="font51"/>
    <w:basedOn w:val="7"/>
    <w:qFormat/>
    <w:uiPriority w:val="0"/>
    <w:rPr>
      <w:rFonts w:hint="eastAsia" w:ascii="宋体" w:hAnsi="宋体" w:eastAsia="宋体" w:cs="宋体"/>
      <w:color w:val="000000"/>
      <w:sz w:val="20"/>
      <w:szCs w:val="20"/>
      <w:u w:val="none"/>
    </w:rPr>
  </w:style>
  <w:style w:type="character" w:customStyle="1" w:styleId="17">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8840E-DEBA-4974-AB83-D9085635C8CC}">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2259</Words>
  <Characters>12879</Characters>
  <Lines>107</Lines>
  <Paragraphs>30</Paragraphs>
  <TotalTime>0</TotalTime>
  <ScaleCrop>false</ScaleCrop>
  <LinksUpToDate>false</LinksUpToDate>
  <CharactersWithSpaces>15108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2019-02-13T02:52:00Z</dcterms:created>
  <dc:creator>Windows User</dc:creator>
  <cp:lastModifiedBy>邓彩英</cp:lastModifiedBy>
  <dcterms:modified xsi:type="dcterms:W3CDTF">2021-04-01T02:50:03Z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F03943CA2F654B41A8EB32C1A1B74188</vt:lpwstr>
  </property>
</Properties>
</file>