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center"/>
        <w:rPr>
          <w:rFonts w:ascii="黑体" w:hAnsi="宋体" w:eastAsia="黑体" w:cs="黑体"/>
          <w:i w:val="0"/>
          <w:iCs w:val="0"/>
          <w:caps w:val="0"/>
          <w:color w:val="333333"/>
          <w:spacing w:val="0"/>
          <w:kern w:val="0"/>
          <w:sz w:val="52"/>
          <w:szCs w:val="5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center"/>
        <w:rPr>
          <w:rFonts w:ascii="黑体" w:hAnsi="宋体" w:eastAsia="黑体" w:cs="黑体"/>
          <w:i w:val="0"/>
          <w:iCs w:val="0"/>
          <w:caps w:val="0"/>
          <w:color w:val="333333"/>
          <w:spacing w:val="0"/>
          <w:kern w:val="0"/>
          <w:sz w:val="52"/>
          <w:szCs w:val="5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center"/>
        <w:rPr>
          <w:rFonts w:hint="eastAsia" w:ascii="宋体" w:hAnsi="宋体" w:eastAsia="宋体" w:cs="宋体"/>
          <w:i w:val="0"/>
          <w:iCs w:val="0"/>
          <w:caps w:val="0"/>
          <w:color w:val="333333"/>
          <w:spacing w:val="0"/>
          <w:sz w:val="21"/>
          <w:szCs w:val="21"/>
        </w:rPr>
      </w:pPr>
      <w:r>
        <w:rPr>
          <w:rFonts w:ascii="黑体" w:hAnsi="宋体" w:eastAsia="黑体" w:cs="黑体"/>
          <w:i w:val="0"/>
          <w:iCs w:val="0"/>
          <w:caps w:val="0"/>
          <w:color w:val="333333"/>
          <w:spacing w:val="0"/>
          <w:kern w:val="0"/>
          <w:sz w:val="52"/>
          <w:szCs w:val="52"/>
          <w:bdr w:val="none" w:color="auto" w:sz="0" w:space="0"/>
          <w:shd w:val="clear" w:fill="EFEFEF"/>
          <w:lang w:val="en-US" w:eastAsia="zh-CN" w:bidi="ar"/>
        </w:rPr>
        <w:t>广西建设职业技术学院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center"/>
        <w:rPr>
          <w:rFonts w:hint="eastAsia" w:ascii="宋体" w:hAnsi="宋体" w:eastAsia="宋体" w:cs="宋体"/>
          <w:i w:val="0"/>
          <w:iCs w:val="0"/>
          <w:caps w:val="0"/>
          <w:color w:val="333333"/>
          <w:spacing w:val="0"/>
          <w:sz w:val="21"/>
          <w:szCs w:val="21"/>
        </w:rPr>
      </w:pPr>
      <w:r>
        <w:rPr>
          <w:rFonts w:hint="eastAsia" w:ascii="黑体" w:hAnsi="宋体" w:eastAsia="黑体" w:cs="黑体"/>
          <w:i w:val="0"/>
          <w:iCs w:val="0"/>
          <w:caps w:val="0"/>
          <w:color w:val="333333"/>
          <w:spacing w:val="0"/>
          <w:kern w:val="0"/>
          <w:sz w:val="52"/>
          <w:szCs w:val="52"/>
          <w:bdr w:val="none" w:color="auto" w:sz="0" w:space="0"/>
          <w:shd w:val="clear" w:fill="EFEFEF"/>
          <w:lang w:val="en-US" w:eastAsia="zh-CN" w:bidi="ar"/>
        </w:rPr>
        <w:t>2016年部门决算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left"/>
        <w:rPr>
          <w:rFonts w:hint="eastAsia" w:ascii="宋体" w:hAnsi="宋体" w:eastAsia="宋体" w:cs="宋体"/>
          <w:i w:val="0"/>
          <w:iCs w:val="0"/>
          <w:caps w:val="0"/>
          <w:color w:val="333333"/>
          <w:spacing w:val="0"/>
          <w:sz w:val="21"/>
          <w:szCs w:val="21"/>
        </w:rPr>
      </w:pPr>
      <w:r>
        <w:rPr>
          <w:rFonts w:ascii="ArialUnicodeMS" w:hAnsi="ArialUnicodeMS" w:eastAsia="ArialUnicodeMS" w:cs="ArialUnicodeMS"/>
          <w:i w:val="0"/>
          <w:iCs w:val="0"/>
          <w:caps w:val="0"/>
          <w:color w:val="333333"/>
          <w:spacing w:val="0"/>
          <w:kern w:val="0"/>
          <w:sz w:val="84"/>
          <w:szCs w:val="84"/>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left"/>
        <w:rPr>
          <w:rFonts w:hint="eastAsia" w:ascii="宋体" w:hAnsi="宋体" w:eastAsia="宋体" w:cs="宋体"/>
          <w:i w:val="0"/>
          <w:iCs w:val="0"/>
          <w:caps w:val="0"/>
          <w:color w:val="333333"/>
          <w:spacing w:val="0"/>
          <w:sz w:val="21"/>
          <w:szCs w:val="21"/>
        </w:rPr>
      </w:pPr>
      <w:r>
        <w:rPr>
          <w:rFonts w:hint="default" w:ascii="ArialUnicodeMS" w:hAnsi="ArialUnicodeMS" w:eastAsia="ArialUnicodeMS" w:cs="ArialUnicodeMS"/>
          <w:i w:val="0"/>
          <w:iCs w:val="0"/>
          <w:caps w:val="0"/>
          <w:color w:val="333333"/>
          <w:spacing w:val="0"/>
          <w:kern w:val="0"/>
          <w:sz w:val="84"/>
          <w:szCs w:val="84"/>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left"/>
        <w:rPr>
          <w:rFonts w:hint="eastAsia" w:ascii="宋体" w:hAnsi="宋体" w:eastAsia="宋体" w:cs="宋体"/>
          <w:i w:val="0"/>
          <w:iCs w:val="0"/>
          <w:caps w:val="0"/>
          <w:color w:val="333333"/>
          <w:spacing w:val="0"/>
          <w:sz w:val="21"/>
          <w:szCs w:val="21"/>
        </w:rPr>
      </w:pPr>
      <w:r>
        <w:rPr>
          <w:rFonts w:hint="default" w:ascii="ArialUnicodeMS" w:hAnsi="ArialUnicodeMS" w:eastAsia="ArialUnicodeMS" w:cs="ArialUnicodeMS"/>
          <w:i w:val="0"/>
          <w:iCs w:val="0"/>
          <w:caps w:val="0"/>
          <w:color w:val="333333"/>
          <w:spacing w:val="0"/>
          <w:kern w:val="0"/>
          <w:sz w:val="84"/>
          <w:szCs w:val="84"/>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left"/>
        <w:rPr>
          <w:rFonts w:hint="eastAsia" w:ascii="宋体" w:hAnsi="宋体" w:eastAsia="宋体" w:cs="宋体"/>
          <w:i w:val="0"/>
          <w:iCs w:val="0"/>
          <w:caps w:val="0"/>
          <w:color w:val="333333"/>
          <w:spacing w:val="0"/>
          <w:sz w:val="21"/>
          <w:szCs w:val="21"/>
        </w:rPr>
      </w:pPr>
      <w:r>
        <w:rPr>
          <w:rFonts w:hint="eastAsia" w:ascii="黑体" w:hAnsi="宋体" w:eastAsia="黑体" w:cs="黑体"/>
          <w:i w:val="0"/>
          <w:iCs w:val="0"/>
          <w:caps w:val="0"/>
          <w:color w:val="333333"/>
          <w:spacing w:val="0"/>
          <w:kern w:val="0"/>
          <w:sz w:val="44"/>
          <w:szCs w:val="44"/>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center"/>
        <w:rPr>
          <w:rFonts w:hint="eastAsia" w:ascii="宋体" w:hAnsi="宋体" w:eastAsia="宋体" w:cs="宋体"/>
          <w:i w:val="0"/>
          <w:iCs w:val="0"/>
          <w:caps w:val="0"/>
          <w:color w:val="333333"/>
          <w:spacing w:val="0"/>
          <w:sz w:val="21"/>
          <w:szCs w:val="21"/>
        </w:rPr>
      </w:pPr>
      <w:r>
        <w:rPr>
          <w:rFonts w:hint="eastAsia" w:ascii="黑体" w:hAnsi="宋体" w:eastAsia="黑体" w:cs="黑体"/>
          <w:i w:val="0"/>
          <w:iCs w:val="0"/>
          <w:caps w:val="0"/>
          <w:color w:val="333333"/>
          <w:spacing w:val="0"/>
          <w:kern w:val="0"/>
          <w:sz w:val="44"/>
          <w:szCs w:val="44"/>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6"/>
        <w:jc w:val="center"/>
        <w:rPr>
          <w:rFonts w:hint="eastAsia" w:ascii="宋体" w:hAnsi="宋体" w:eastAsia="宋体" w:cs="宋体"/>
          <w:i w:val="0"/>
          <w:iCs w:val="0"/>
          <w:caps w:val="0"/>
          <w:color w:val="333333"/>
          <w:spacing w:val="0"/>
          <w:sz w:val="21"/>
          <w:szCs w:val="21"/>
        </w:rPr>
      </w:pPr>
      <w:r>
        <w:rPr>
          <w:rFonts w:ascii="方正小标宋简体" w:hAnsi="方正小标宋简体" w:eastAsia="方正小标宋简体" w:cs="方正小标宋简体"/>
          <w:b/>
          <w:bCs/>
          <w:i w:val="0"/>
          <w:iCs w:val="0"/>
          <w:caps w:val="0"/>
          <w:color w:val="333333"/>
          <w:spacing w:val="0"/>
          <w:kern w:val="0"/>
          <w:sz w:val="44"/>
          <w:szCs w:val="44"/>
          <w:bdr w:val="none" w:color="auto" w:sz="0" w:space="0"/>
          <w:shd w:val="clear" w:fill="EFEFEF"/>
          <w:lang w:val="en-US" w:eastAsia="zh-CN" w:bidi="ar"/>
        </w:rPr>
        <w:t>目</w:t>
      </w:r>
      <w:r>
        <w:rPr>
          <w:rFonts w:hint="default" w:ascii="方正小标宋简体" w:hAnsi="方正小标宋简体" w:eastAsia="方正小标宋简体" w:cs="方正小标宋简体"/>
          <w:b/>
          <w:bCs/>
          <w:i w:val="0"/>
          <w:iCs w:val="0"/>
          <w:caps w:val="0"/>
          <w:color w:val="333333"/>
          <w:spacing w:val="0"/>
          <w:kern w:val="0"/>
          <w:sz w:val="44"/>
          <w:szCs w:val="44"/>
          <w:bdr w:val="none" w:color="auto" w:sz="0" w:space="0"/>
          <w:shd w:val="clear" w:fill="EFEFEF"/>
          <w:lang w:val="en-US" w:eastAsia="zh-CN" w:bidi="ar"/>
        </w:rPr>
        <w:t>    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5"/>
        <w:jc w:val="left"/>
        <w:rPr>
          <w:rFonts w:hint="eastAsia" w:ascii="宋体" w:hAnsi="宋体" w:eastAsia="宋体" w:cs="宋体"/>
          <w:i w:val="0"/>
          <w:iCs w:val="0"/>
          <w:caps w:val="0"/>
          <w:color w:val="333333"/>
          <w:spacing w:val="0"/>
          <w:sz w:val="21"/>
          <w:szCs w:val="21"/>
        </w:rPr>
      </w:pPr>
      <w:r>
        <w:rPr>
          <w:rFonts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5"/>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第一部分：</w:t>
      </w:r>
      <w:r>
        <w:rPr>
          <w:rFonts w:hint="default" w:ascii="仿宋_GB2312" w:hAnsi="宋体" w:eastAsia="仿宋_GB2312" w:cs="仿宋_GB2312"/>
          <w:b/>
          <w:bCs/>
          <w:i w:val="0"/>
          <w:iCs w:val="0"/>
          <w:caps w:val="0"/>
          <w:color w:val="000000"/>
          <w:spacing w:val="0"/>
          <w:kern w:val="0"/>
          <w:sz w:val="32"/>
          <w:szCs w:val="32"/>
          <w:bdr w:val="none" w:color="auto" w:sz="0" w:space="0"/>
          <w:shd w:val="clear" w:fill="EFEFEF"/>
          <w:lang w:val="en-US" w:eastAsia="zh-CN" w:bidi="ar"/>
        </w:rPr>
        <w:t>广西建设职业技术学院</w:t>
      </w: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5"/>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5"/>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二、部门决算单位构成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5"/>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第二部分：</w:t>
      </w:r>
      <w:r>
        <w:rPr>
          <w:rFonts w:hint="default" w:ascii="仿宋_GB2312" w:hAnsi="宋体" w:eastAsia="仿宋_GB2312" w:cs="仿宋_GB2312"/>
          <w:b/>
          <w:bCs/>
          <w:i w:val="0"/>
          <w:iCs w:val="0"/>
          <w:caps w:val="0"/>
          <w:color w:val="000000"/>
          <w:spacing w:val="0"/>
          <w:kern w:val="0"/>
          <w:sz w:val="32"/>
          <w:szCs w:val="32"/>
          <w:bdr w:val="none" w:color="auto" w:sz="0" w:space="0"/>
          <w:shd w:val="clear" w:fill="EFEFEF"/>
          <w:lang w:val="en-US" w:eastAsia="zh-CN" w:bidi="ar"/>
        </w:rPr>
        <w:t>广西建设职业技术学院</w:t>
      </w: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2016年部门决算报表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645" w:right="0" w:firstLine="36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表一：收入支出决算总表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645" w:right="0" w:firstLine="36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表二：收入决算表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645" w:right="0" w:firstLine="36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表三：支出决算表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645" w:right="0" w:firstLine="36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表四：财政拨款收入支出决算总表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645" w:right="0" w:firstLine="36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表五：一般公共预算财政拨款支出决算表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645" w:right="0" w:firstLine="36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表六：一般公共预算财政拨款基本支出决算表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645" w:right="0" w:firstLine="36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表七：一般公共预算财政拨款安排的“三公”经费支出决算表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645" w:right="0" w:firstLine="36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表八：政府性基金预算财政拨款收入支出决算表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5"/>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第三部分：</w:t>
      </w:r>
      <w:r>
        <w:rPr>
          <w:rFonts w:hint="default" w:ascii="仿宋_GB2312" w:hAnsi="宋体" w:eastAsia="仿宋_GB2312" w:cs="仿宋_GB2312"/>
          <w:b/>
          <w:bCs/>
          <w:i w:val="0"/>
          <w:iCs w:val="0"/>
          <w:caps w:val="0"/>
          <w:color w:val="000000"/>
          <w:spacing w:val="0"/>
          <w:kern w:val="0"/>
          <w:sz w:val="32"/>
          <w:szCs w:val="32"/>
          <w:bdr w:val="none" w:color="auto" w:sz="0" w:space="0"/>
          <w:shd w:val="clear" w:fill="EFEFEF"/>
          <w:lang w:val="en-US" w:eastAsia="zh-CN" w:bidi="ar"/>
        </w:rPr>
        <w:t>广西建设职业技术学院</w:t>
      </w: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2016年度部门决算情况说明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一、2016 年度收入支出决算总体情况。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二、2016 年度一般公共预算支出决算情况。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三、2016 年度政府性基金支出决算情况。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四、一般公共预算财政拨款安排的“三公”经费支出决算情况说明。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五、2016年度一般公共预算财政拨款基本支出决算情况说明。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六、其他重要事项情况说明。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第四部分、名词解释。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21"/>
          <w:szCs w:val="21"/>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left"/>
        <w:rPr>
          <w:rFonts w:hint="eastAsia"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6"/>
        <w:jc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第一部分：</w:t>
      </w:r>
      <w:r>
        <w:rPr>
          <w:rFonts w:hint="default" w:ascii="仿宋_GB2312" w:hAnsi="宋体" w:eastAsia="仿宋_GB2312" w:cs="仿宋_GB2312"/>
          <w:b/>
          <w:bCs/>
          <w:i w:val="0"/>
          <w:iCs w:val="0"/>
          <w:caps w:val="0"/>
          <w:color w:val="000000"/>
          <w:spacing w:val="0"/>
          <w:kern w:val="0"/>
          <w:sz w:val="32"/>
          <w:szCs w:val="32"/>
          <w:bdr w:val="none" w:color="auto" w:sz="0" w:space="0"/>
          <w:shd w:val="clear" w:fill="EFEFEF"/>
          <w:lang w:val="en-US" w:eastAsia="zh-CN" w:bidi="ar"/>
        </w:rPr>
        <w:t>广西建设职业技术学院</w:t>
      </w: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6"/>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5"/>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我院坐落于南宁市，归口广西壮族自治区住房和城乡建设厅管理，是自治区示范性高职院校。学院以</w:t>
      </w:r>
      <w:r>
        <w:rPr>
          <w:rFonts w:hint="eastAsia" w:ascii="宋体" w:hAnsi="宋体" w:eastAsia="宋体" w:cs="宋体"/>
          <w:i w:val="0"/>
          <w:iCs w:val="0"/>
          <w:caps w:val="0"/>
          <w:color w:val="333333"/>
          <w:spacing w:val="0"/>
          <w:kern w:val="0"/>
          <w:sz w:val="32"/>
          <w:szCs w:val="32"/>
          <w:bdr w:val="none" w:color="auto" w:sz="0" w:space="0"/>
          <w:shd w:val="clear" w:fill="EFEFEF"/>
          <w:lang w:val="en-US" w:eastAsia="zh-CN" w:bidi="ar"/>
        </w:rPr>
        <w:t>“</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厚德、励学、敦行</w:t>
      </w:r>
      <w:r>
        <w:rPr>
          <w:rFonts w:hint="eastAsia" w:ascii="宋体" w:hAnsi="宋体" w:eastAsia="宋体" w:cs="宋体"/>
          <w:i w:val="0"/>
          <w:iCs w:val="0"/>
          <w:caps w:val="0"/>
          <w:color w:val="333333"/>
          <w:spacing w:val="0"/>
          <w:kern w:val="0"/>
          <w:sz w:val="32"/>
          <w:szCs w:val="32"/>
          <w:bdr w:val="none" w:color="auto" w:sz="0" w:space="0"/>
          <w:shd w:val="clear" w:fill="EFEFEF"/>
          <w:lang w:val="en-US" w:eastAsia="zh-CN" w:bidi="ar"/>
        </w:rPr>
        <w:t>”</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为校训，践行</w:t>
      </w:r>
      <w:r>
        <w:rPr>
          <w:rFonts w:hint="eastAsia" w:ascii="宋体" w:hAnsi="宋体" w:eastAsia="宋体" w:cs="宋体"/>
          <w:i w:val="0"/>
          <w:iCs w:val="0"/>
          <w:caps w:val="0"/>
          <w:color w:val="333333"/>
          <w:spacing w:val="0"/>
          <w:kern w:val="0"/>
          <w:sz w:val="32"/>
          <w:szCs w:val="32"/>
          <w:bdr w:val="none" w:color="auto" w:sz="0" w:space="0"/>
          <w:shd w:val="clear" w:fill="EFEFEF"/>
          <w:lang w:val="en-US" w:eastAsia="zh-CN" w:bidi="ar"/>
        </w:rPr>
        <w:t>“</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为每一位学生的成才积蓄力量，为每一位教职工的发展搭建平台，为广西建设事业的发展培育高端技能型人才</w:t>
      </w:r>
      <w:r>
        <w:rPr>
          <w:rFonts w:hint="eastAsia" w:ascii="宋体" w:hAnsi="宋体" w:eastAsia="宋体" w:cs="宋体"/>
          <w:i w:val="0"/>
          <w:iCs w:val="0"/>
          <w:caps w:val="0"/>
          <w:color w:val="333333"/>
          <w:spacing w:val="0"/>
          <w:kern w:val="0"/>
          <w:sz w:val="32"/>
          <w:szCs w:val="32"/>
          <w:bdr w:val="none" w:color="auto" w:sz="0" w:space="0"/>
          <w:shd w:val="clear" w:fill="EFEFEF"/>
          <w:lang w:val="en-US" w:eastAsia="zh-CN" w:bidi="ar"/>
        </w:rPr>
        <w:t>”</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的办学理念</w:t>
      </w:r>
      <w:r>
        <w:rPr>
          <w:rFonts w:hint="eastAsia" w:ascii="宋体" w:hAnsi="宋体" w:eastAsia="宋体" w:cs="宋体"/>
          <w:i w:val="0"/>
          <w:iCs w:val="0"/>
          <w:caps w:val="0"/>
          <w:color w:val="333333"/>
          <w:spacing w:val="0"/>
          <w:kern w:val="0"/>
          <w:sz w:val="32"/>
          <w:szCs w:val="32"/>
          <w:bdr w:val="none" w:color="auto" w:sz="0" w:space="0"/>
          <w:shd w:val="clear" w:fill="EFEFEF"/>
          <w:lang w:val="en-US" w:eastAsia="zh-CN" w:bidi="ar"/>
        </w:rPr>
        <w:t>”</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，弘扬</w:t>
      </w:r>
      <w:r>
        <w:rPr>
          <w:rFonts w:hint="eastAsia" w:ascii="宋体" w:hAnsi="宋体" w:eastAsia="宋体" w:cs="宋体"/>
          <w:i w:val="0"/>
          <w:iCs w:val="0"/>
          <w:caps w:val="0"/>
          <w:color w:val="333333"/>
          <w:spacing w:val="0"/>
          <w:kern w:val="0"/>
          <w:sz w:val="32"/>
          <w:szCs w:val="32"/>
          <w:bdr w:val="none" w:color="auto" w:sz="0" w:space="0"/>
          <w:shd w:val="clear" w:fill="EFEFEF"/>
          <w:lang w:val="en-US" w:eastAsia="zh-CN" w:bidi="ar"/>
        </w:rPr>
        <w:t>“</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敢为人先、追求卓越</w:t>
      </w:r>
      <w:r>
        <w:rPr>
          <w:rFonts w:hint="eastAsia" w:ascii="宋体" w:hAnsi="宋体" w:eastAsia="宋体" w:cs="宋体"/>
          <w:i w:val="0"/>
          <w:iCs w:val="0"/>
          <w:caps w:val="0"/>
          <w:color w:val="333333"/>
          <w:spacing w:val="0"/>
          <w:kern w:val="0"/>
          <w:sz w:val="32"/>
          <w:szCs w:val="32"/>
          <w:bdr w:val="none" w:color="auto" w:sz="0" w:space="0"/>
          <w:shd w:val="clear" w:fill="EFEFEF"/>
          <w:lang w:val="en-US" w:eastAsia="zh-CN" w:bidi="ar"/>
        </w:rPr>
        <w:t>”</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的学院精神，为建设、管理一线培养具有良好的职业道德、懂理论、会操作、善管理的技术技能型人才。学院不断创新教育理念，深化教育教学改革，综合实力和核心竞争力不断提升，成为一所在广西有较高知名度，在国内同类院校中颇具影响力的高职院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6"/>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二、部门决算单位构成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19"/>
        <w:jc w:val="left"/>
        <w:rPr>
          <w:rFonts w:hint="default" w:ascii="仿宋_GB2312" w:hAnsi="宋体" w:eastAsia="仿宋_GB2312" w:cs="仿宋_GB2312"/>
          <w:i w:val="0"/>
          <w:iCs w:val="0"/>
          <w:caps w:val="0"/>
          <w:color w:val="333333"/>
          <w:spacing w:val="0"/>
          <w:kern w:val="0"/>
          <w:sz w:val="28"/>
          <w:szCs w:val="28"/>
          <w:bdr w:val="none" w:color="auto" w:sz="0" w:space="0"/>
          <w:shd w:val="clear" w:fill="EFEFEF"/>
          <w:lang w:val="en-US" w:eastAsia="zh-CN" w:bidi="ar"/>
        </w:rPr>
      </w:pPr>
      <w:r>
        <w:rPr>
          <w:rFonts w:hint="default" w:ascii="仿宋_GB2312" w:hAnsi="宋体" w:eastAsia="仿宋_GB2312" w:cs="仿宋_GB2312"/>
          <w:i w:val="0"/>
          <w:iCs w:val="0"/>
          <w:caps w:val="0"/>
          <w:color w:val="333333"/>
          <w:spacing w:val="0"/>
          <w:kern w:val="0"/>
          <w:sz w:val="28"/>
          <w:szCs w:val="28"/>
          <w:bdr w:val="none" w:color="auto" w:sz="0" w:space="0"/>
          <w:shd w:val="clear" w:fill="EFEFEF"/>
          <w:lang w:val="en-US" w:eastAsia="zh-CN" w:bidi="ar"/>
        </w:rPr>
        <w:t>我院报表类型属于单户报表，属于二级预算单位，决算单位数为1个（包含广西建设职业技能岗位鉴定总站决算数据）。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19"/>
        <w:jc w:val="left"/>
        <w:rPr>
          <w:rFonts w:hint="default" w:ascii="仿宋_GB2312" w:hAnsi="宋体" w:eastAsia="仿宋_GB2312" w:cs="仿宋_GB2312"/>
          <w:i w:val="0"/>
          <w:iCs w:val="0"/>
          <w:caps w:val="0"/>
          <w:color w:val="333333"/>
          <w:spacing w:val="0"/>
          <w:kern w:val="0"/>
          <w:sz w:val="28"/>
          <w:szCs w:val="28"/>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19"/>
        <w:jc w:val="left"/>
        <w:rPr>
          <w:rFonts w:hint="eastAsia" w:ascii="仿宋_GB2312" w:hAnsi="宋体" w:eastAsia="仿宋_GB2312" w:cs="仿宋_GB2312"/>
          <w:i w:val="0"/>
          <w:iCs w:val="0"/>
          <w:caps w:val="0"/>
          <w:color w:val="333333"/>
          <w:spacing w:val="0"/>
          <w:kern w:val="0"/>
          <w:sz w:val="28"/>
          <w:szCs w:val="28"/>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19"/>
        <w:jc w:val="left"/>
        <w:rPr>
          <w:rFonts w:hint="eastAsia" w:ascii="仿宋_GB2312" w:hAnsi="宋体" w:eastAsia="仿宋_GB2312" w:cs="仿宋_GB2312"/>
          <w:i w:val="0"/>
          <w:iCs w:val="0"/>
          <w:caps w:val="0"/>
          <w:color w:val="333333"/>
          <w:spacing w:val="0"/>
          <w:kern w:val="0"/>
          <w:sz w:val="28"/>
          <w:szCs w:val="28"/>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19"/>
        <w:jc w:val="left"/>
        <w:rPr>
          <w:rFonts w:hint="eastAsia" w:ascii="仿宋_GB2312" w:hAnsi="宋体" w:eastAsia="仿宋_GB2312" w:cs="仿宋_GB2312"/>
          <w:i w:val="0"/>
          <w:iCs w:val="0"/>
          <w:caps w:val="0"/>
          <w:color w:val="333333"/>
          <w:spacing w:val="0"/>
          <w:kern w:val="0"/>
          <w:sz w:val="28"/>
          <w:szCs w:val="28"/>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5"/>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6"/>
        <w:jc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第二部分：</w:t>
      </w:r>
      <w:r>
        <w:rPr>
          <w:rFonts w:hint="default" w:ascii="仿宋_GB2312" w:hAnsi="宋体" w:eastAsia="仿宋_GB2312" w:cs="仿宋_GB2312"/>
          <w:b/>
          <w:bCs/>
          <w:i w:val="0"/>
          <w:iCs w:val="0"/>
          <w:caps w:val="0"/>
          <w:color w:val="000000"/>
          <w:spacing w:val="0"/>
          <w:kern w:val="0"/>
          <w:sz w:val="32"/>
          <w:szCs w:val="32"/>
          <w:bdr w:val="none" w:color="auto" w:sz="0" w:space="0"/>
          <w:shd w:val="clear" w:fill="EFEFEF"/>
          <w:lang w:val="en-US" w:eastAsia="zh-CN" w:bidi="ar"/>
        </w:rPr>
        <w:t>广西建设职业技术学院</w:t>
      </w: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2016年部门决算报表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表一：收入支出决算总表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2"/>
          <w:szCs w:val="22"/>
          <w:bdr w:val="none" w:color="auto" w:sz="0" w:space="0"/>
          <w:shd w:val="clear" w:fill="EFEFEF"/>
          <w:lang w:val="en-US" w:eastAsia="zh-CN" w:bidi="ar"/>
        </w:rPr>
        <w:t>单位：万元</w:t>
      </w:r>
    </w:p>
    <w:tbl>
      <w:tblPr>
        <w:tblW w:w="0" w:type="auto"/>
        <w:jc w:val="center"/>
        <w:shd w:val="clear"/>
        <w:tblLayout w:type="autofit"/>
        <w:tblCellMar>
          <w:top w:w="0" w:type="dxa"/>
          <w:left w:w="0" w:type="dxa"/>
          <w:bottom w:w="0" w:type="dxa"/>
          <w:right w:w="0" w:type="dxa"/>
        </w:tblCellMar>
      </w:tblPr>
      <w:tblGrid>
        <w:gridCol w:w="2895"/>
        <w:gridCol w:w="1463"/>
        <w:gridCol w:w="3123"/>
        <w:gridCol w:w="1545"/>
        <w:gridCol w:w="240"/>
      </w:tblGrid>
      <w:tr>
        <w:tblPrEx>
          <w:shd w:val="clear"/>
          <w:tblCellMar>
            <w:top w:w="0" w:type="dxa"/>
            <w:left w:w="0" w:type="dxa"/>
            <w:bottom w:w="0" w:type="dxa"/>
            <w:right w:w="0" w:type="dxa"/>
          </w:tblCellMar>
        </w:tblPrEx>
        <w:trPr>
          <w:trHeight w:val="270" w:hRule="atLeast"/>
          <w:jc w:val="center"/>
        </w:trPr>
        <w:tc>
          <w:tcPr>
            <w:tcW w:w="3998"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收    入</w:t>
            </w:r>
          </w:p>
        </w:tc>
        <w:tc>
          <w:tcPr>
            <w:tcW w:w="4740"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支    出</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项目</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决算数</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项目</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决算数</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一、财政拨款</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24414.15</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一、一般公共服务支出</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二、事业收入</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9570.41</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二、外交支出</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三、事业单位经营收入</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三、教育支出</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39788.75</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四、其他收入</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1638.44</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四、科学技术支出</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五、文化体育与传媒支出</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六、科学技术支出</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八、社会保障和就业支出</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4.09</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九、医疗卫生与计划生育支出</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95.11</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十、节能环保支出</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10.15 </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十一、城乡社区支出</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56.00</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十九、住房保障支出</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142.67 </w:t>
            </w: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b/>
                <w:bCs/>
                <w:color w:val="000000"/>
                <w:kern w:val="0"/>
                <w:sz w:val="22"/>
                <w:szCs w:val="22"/>
                <w:bdr w:val="none" w:color="auto" w:sz="0" w:space="0"/>
                <w:lang w:val="en-US" w:eastAsia="zh-CN" w:bidi="ar"/>
              </w:rPr>
              <w:t>本年收入合计</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b/>
                <w:bCs/>
                <w:color w:val="000000"/>
                <w:kern w:val="0"/>
                <w:sz w:val="22"/>
                <w:szCs w:val="22"/>
                <w:bdr w:val="none" w:color="auto" w:sz="0" w:space="0"/>
                <w:lang w:val="en-US" w:eastAsia="zh-CN" w:bidi="ar"/>
              </w:rPr>
              <w:t>35623</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b/>
                <w:bCs/>
                <w:color w:val="000000"/>
                <w:kern w:val="0"/>
                <w:sz w:val="22"/>
                <w:szCs w:val="22"/>
                <w:bdr w:val="none" w:color="auto" w:sz="0" w:space="0"/>
                <w:lang w:val="en-US" w:eastAsia="zh-CN" w:bidi="ar"/>
              </w:rPr>
              <w:t>本年支出合计</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b/>
                <w:bCs/>
                <w:color w:val="000000"/>
                <w:kern w:val="0"/>
                <w:sz w:val="22"/>
                <w:szCs w:val="22"/>
                <w:bdr w:val="none" w:color="auto" w:sz="0" w:space="0"/>
                <w:lang w:val="en-US" w:eastAsia="zh-CN" w:bidi="ar"/>
              </w:rPr>
              <w:t>　</w:t>
            </w:r>
            <w:r>
              <w:rPr>
                <w:rFonts w:hint="eastAsia" w:ascii="宋体" w:hAnsi="宋体" w:eastAsia="宋体" w:cs="宋体"/>
                <w:b/>
                <w:bCs/>
                <w:color w:val="333333"/>
                <w:kern w:val="0"/>
                <w:sz w:val="21"/>
                <w:szCs w:val="21"/>
                <w:bdr w:val="none" w:color="auto" w:sz="0" w:space="0"/>
                <w:lang w:val="en-US" w:eastAsia="zh-CN" w:bidi="ar"/>
              </w:rPr>
              <w:t>40096.77</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用事业基金弥补收支差额</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结余分配</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r>
              <w:rPr>
                <w:rFonts w:hint="eastAsia" w:ascii="宋体" w:hAnsi="宋体" w:eastAsia="宋体" w:cs="宋体"/>
                <w:color w:val="333333"/>
                <w:kern w:val="0"/>
                <w:sz w:val="21"/>
                <w:szCs w:val="21"/>
                <w:bdr w:val="none" w:color="auto" w:sz="0" w:space="0"/>
                <w:lang w:val="en-US" w:eastAsia="zh-CN" w:bidi="ar"/>
              </w:rPr>
              <w:t>339.29</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上年结转</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7131.06</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年末结转与结余</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2318.00</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70" w:hRule="atLeast"/>
          <w:jc w:val="center"/>
        </w:trPr>
        <w:tc>
          <w:tcPr>
            <w:tcW w:w="28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b/>
                <w:bCs/>
                <w:color w:val="000000"/>
                <w:kern w:val="0"/>
                <w:sz w:val="22"/>
                <w:szCs w:val="22"/>
                <w:bdr w:val="none" w:color="auto" w:sz="0" w:space="0"/>
                <w:lang w:val="en-US" w:eastAsia="zh-CN" w:bidi="ar"/>
              </w:rPr>
              <w:t>收入总计</w:t>
            </w:r>
          </w:p>
        </w:tc>
        <w:tc>
          <w:tcPr>
            <w:tcW w:w="11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b/>
                <w:bCs/>
                <w:color w:val="000000"/>
                <w:kern w:val="0"/>
                <w:sz w:val="22"/>
                <w:szCs w:val="22"/>
                <w:bdr w:val="none" w:color="auto" w:sz="0" w:space="0"/>
                <w:lang w:val="en-US" w:eastAsia="zh-CN" w:bidi="ar"/>
              </w:rPr>
              <w:t>42754.06</w:t>
            </w:r>
          </w:p>
        </w:tc>
        <w:tc>
          <w:tcPr>
            <w:tcW w:w="31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b/>
                <w:bCs/>
                <w:color w:val="000000"/>
                <w:kern w:val="0"/>
                <w:sz w:val="22"/>
                <w:szCs w:val="22"/>
                <w:bdr w:val="none" w:color="auto" w:sz="0" w:space="0"/>
                <w:lang w:val="en-US" w:eastAsia="zh-CN" w:bidi="ar"/>
              </w:rPr>
              <w:t>支出总计</w:t>
            </w:r>
          </w:p>
        </w:tc>
        <w:tc>
          <w:tcPr>
            <w:tcW w:w="161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b/>
                <w:bCs/>
                <w:color w:val="000000"/>
                <w:kern w:val="0"/>
                <w:sz w:val="22"/>
                <w:szCs w:val="22"/>
                <w:bdr w:val="none" w:color="auto" w:sz="0" w:space="0"/>
                <w:lang w:val="en-US" w:eastAsia="zh-CN" w:bidi="ar"/>
              </w:rPr>
              <w:t>　</w:t>
            </w:r>
            <w:r>
              <w:rPr>
                <w:rFonts w:hint="eastAsia" w:ascii="宋体" w:hAnsi="宋体" w:eastAsia="宋体" w:cs="宋体"/>
                <w:b/>
                <w:bCs/>
                <w:color w:val="333333"/>
                <w:kern w:val="0"/>
                <w:sz w:val="21"/>
                <w:szCs w:val="21"/>
                <w:bdr w:val="none" w:color="auto" w:sz="0" w:space="0"/>
                <w:lang w:val="en-US" w:eastAsia="zh-CN" w:bidi="ar"/>
              </w:rPr>
              <w:t>42754.06</w:t>
            </w:r>
          </w:p>
        </w:tc>
      </w:tr>
      <w:tr>
        <w:tblPrEx>
          <w:tblCellMar>
            <w:top w:w="0" w:type="dxa"/>
            <w:left w:w="0" w:type="dxa"/>
            <w:bottom w:w="0" w:type="dxa"/>
            <w:right w:w="0" w:type="dxa"/>
          </w:tblCellMar>
        </w:tblPrEx>
        <w:trPr>
          <w:jc w:val="center"/>
        </w:trPr>
        <w:tc>
          <w:tcPr>
            <w:tcW w:w="2895"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290"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3120"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545"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60"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36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注：本表反映部门本年度的总收支和年末结转结余情况。</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表二：收入决算表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2"/>
          <w:szCs w:val="22"/>
          <w:bdr w:val="none" w:color="auto" w:sz="0" w:space="0"/>
          <w:shd w:val="clear" w:fill="EFEFEF"/>
          <w:lang w:val="en-US" w:eastAsia="zh-CN" w:bidi="ar"/>
        </w:rPr>
        <w:t>单位：万元                     </w:t>
      </w:r>
    </w:p>
    <w:tbl>
      <w:tblPr>
        <w:tblW w:w="0" w:type="auto"/>
        <w:jc w:val="center"/>
        <w:shd w:val="clear"/>
        <w:tblLayout w:type="autofit"/>
        <w:tblCellMar>
          <w:top w:w="0" w:type="dxa"/>
          <w:left w:w="0" w:type="dxa"/>
          <w:bottom w:w="0" w:type="dxa"/>
          <w:right w:w="0" w:type="dxa"/>
        </w:tblCellMar>
      </w:tblPr>
      <w:tblGrid>
        <w:gridCol w:w="1346"/>
        <w:gridCol w:w="2257"/>
        <w:gridCol w:w="1566"/>
        <w:gridCol w:w="1566"/>
        <w:gridCol w:w="1475"/>
        <w:gridCol w:w="1530"/>
        <w:gridCol w:w="1475"/>
        <w:gridCol w:w="1475"/>
        <w:gridCol w:w="1530"/>
      </w:tblGrid>
      <w:tr>
        <w:tblPrEx>
          <w:shd w:val="clear"/>
          <w:tblCellMar>
            <w:top w:w="0" w:type="dxa"/>
            <w:left w:w="0" w:type="dxa"/>
            <w:bottom w:w="0" w:type="dxa"/>
            <w:right w:w="0" w:type="dxa"/>
          </w:tblCellMar>
        </w:tblPrEx>
        <w:trPr>
          <w:trHeight w:val="288" w:hRule="atLeast"/>
          <w:jc w:val="center"/>
        </w:trPr>
        <w:tc>
          <w:tcPr>
            <w:tcW w:w="3386" w:type="dxa"/>
            <w:gridSpan w:val="2"/>
            <w:tcBorders>
              <w:top w:val="single" w:color="auto" w:sz="8" w:space="0"/>
              <w:left w:val="single" w:color="auto" w:sz="8" w:space="0"/>
              <w:bottom w:val="single" w:color="auto"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项 目</w:t>
            </w:r>
          </w:p>
        </w:tc>
        <w:tc>
          <w:tcPr>
            <w:tcW w:w="154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本年收入合计</w:t>
            </w:r>
          </w:p>
        </w:tc>
        <w:tc>
          <w:tcPr>
            <w:tcW w:w="154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财政拨款收入</w:t>
            </w:r>
          </w:p>
        </w:tc>
        <w:tc>
          <w:tcPr>
            <w:tcW w:w="154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上级补助收入</w:t>
            </w:r>
          </w:p>
        </w:tc>
        <w:tc>
          <w:tcPr>
            <w:tcW w:w="154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事业收入</w:t>
            </w:r>
          </w:p>
        </w:tc>
        <w:tc>
          <w:tcPr>
            <w:tcW w:w="154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经营收入</w:t>
            </w:r>
          </w:p>
        </w:tc>
        <w:tc>
          <w:tcPr>
            <w:tcW w:w="154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附属单位上缴收入</w:t>
            </w:r>
          </w:p>
        </w:tc>
        <w:tc>
          <w:tcPr>
            <w:tcW w:w="154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其他收入</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科目编码</w:t>
            </w:r>
          </w:p>
        </w:tc>
        <w:tc>
          <w:tcPr>
            <w:tcW w:w="240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科目名称</w:t>
            </w:r>
          </w:p>
        </w:tc>
        <w:tc>
          <w:tcPr>
            <w:tcW w:w="154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4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4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4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4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4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4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288" w:hRule="atLeast"/>
          <w:jc w:val="center"/>
        </w:trPr>
        <w:tc>
          <w:tcPr>
            <w:tcW w:w="3386"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栏次</w:t>
            </w:r>
          </w:p>
        </w:tc>
        <w:tc>
          <w:tcPr>
            <w:tcW w:w="154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w:t>
            </w:r>
          </w:p>
        </w:tc>
        <w:tc>
          <w:tcPr>
            <w:tcW w:w="154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w:t>
            </w:r>
          </w:p>
        </w:tc>
        <w:tc>
          <w:tcPr>
            <w:tcW w:w="154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w:t>
            </w:r>
          </w:p>
        </w:tc>
        <w:tc>
          <w:tcPr>
            <w:tcW w:w="154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w:t>
            </w:r>
          </w:p>
        </w:tc>
        <w:tc>
          <w:tcPr>
            <w:tcW w:w="154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w:t>
            </w:r>
          </w:p>
        </w:tc>
        <w:tc>
          <w:tcPr>
            <w:tcW w:w="154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6</w:t>
            </w:r>
          </w:p>
        </w:tc>
        <w:tc>
          <w:tcPr>
            <w:tcW w:w="154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7</w:t>
            </w:r>
          </w:p>
        </w:tc>
      </w:tr>
      <w:tr>
        <w:tblPrEx>
          <w:tblCellMar>
            <w:top w:w="0" w:type="dxa"/>
            <w:left w:w="0" w:type="dxa"/>
            <w:bottom w:w="0" w:type="dxa"/>
            <w:right w:w="0" w:type="dxa"/>
          </w:tblCellMar>
        </w:tblPrEx>
        <w:trPr>
          <w:trHeight w:val="288" w:hRule="atLeast"/>
          <w:jc w:val="center"/>
        </w:trPr>
        <w:tc>
          <w:tcPr>
            <w:tcW w:w="3386"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合计</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35623.00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24414.15</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9570.41</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1638.44</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教育支出</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35,325.12</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24,116.27</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9,570.41</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1,638.44</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20502</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普通教育</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1,187.37</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1,187.37</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2050205</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高等教育</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1,187.37</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1,187.37</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20503</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职业教育</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34,137.75</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22,928.90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9,570.41</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1,638.44</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2050302</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中专教育</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2050305</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高等职业教育</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34,137.75</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22,928.90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9,570.41</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1,638.44</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208</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社会保障和就业支出</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20808</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抚恤</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2080801</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死亡抚恤</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210</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医疗卫生与计划生育支出</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95.11</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95.11</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21005</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医疗保障</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95.11</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95.11</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2100502</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事业单位医疗</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95.11</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95.11</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211</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节能环保支出</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21112</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可再生能源</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2111201</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可再生能源</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212</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城乡社区支出</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21299</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其他城乡社区支出</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2129999</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其他城乡社区支出</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221</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住房保障支出</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142.67</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142.67</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22102</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住房改革支出</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142.67</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142.67</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9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2210201</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住房公积金</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142.67</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142.67</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注：本表反映部门本年度取得的各项收入情况。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表三：支出决算表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2"/>
          <w:szCs w:val="22"/>
          <w:bdr w:val="none" w:color="auto" w:sz="0" w:space="0"/>
          <w:shd w:val="clear" w:fill="EFEFEF"/>
          <w:lang w:val="en-US" w:eastAsia="zh-CN" w:bidi="ar"/>
        </w:rPr>
        <w:t>单位：万元</w:t>
      </w:r>
    </w:p>
    <w:tbl>
      <w:tblPr>
        <w:tblW w:w="0" w:type="auto"/>
        <w:jc w:val="center"/>
        <w:shd w:val="clear"/>
        <w:tblLayout w:type="autofit"/>
        <w:tblCellMar>
          <w:top w:w="0" w:type="dxa"/>
          <w:left w:w="0" w:type="dxa"/>
          <w:bottom w:w="0" w:type="dxa"/>
          <w:right w:w="0" w:type="dxa"/>
        </w:tblCellMar>
      </w:tblPr>
      <w:tblGrid>
        <w:gridCol w:w="1346"/>
        <w:gridCol w:w="1812"/>
        <w:gridCol w:w="1985"/>
        <w:gridCol w:w="1842"/>
        <w:gridCol w:w="1702"/>
        <w:gridCol w:w="1702"/>
        <w:gridCol w:w="1843"/>
        <w:gridCol w:w="1985"/>
      </w:tblGrid>
      <w:tr>
        <w:tblPrEx>
          <w:shd w:val="clear"/>
          <w:tblCellMar>
            <w:top w:w="0" w:type="dxa"/>
            <w:left w:w="0" w:type="dxa"/>
            <w:bottom w:w="0" w:type="dxa"/>
            <w:right w:w="0" w:type="dxa"/>
          </w:tblCellMar>
        </w:tblPrEx>
        <w:trPr>
          <w:trHeight w:val="288" w:hRule="atLeast"/>
          <w:jc w:val="center"/>
        </w:trPr>
        <w:tc>
          <w:tcPr>
            <w:tcW w:w="2992"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项 目</w:t>
            </w:r>
          </w:p>
        </w:tc>
        <w:tc>
          <w:tcPr>
            <w:tcW w:w="1985"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本年支出合计</w:t>
            </w:r>
          </w:p>
        </w:tc>
        <w:tc>
          <w:tcPr>
            <w:tcW w:w="184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基本支出</w:t>
            </w:r>
          </w:p>
        </w:tc>
        <w:tc>
          <w:tcPr>
            <w:tcW w:w="170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项目支出</w:t>
            </w:r>
          </w:p>
        </w:tc>
        <w:tc>
          <w:tcPr>
            <w:tcW w:w="170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上缴上级支出</w:t>
            </w:r>
          </w:p>
        </w:tc>
        <w:tc>
          <w:tcPr>
            <w:tcW w:w="1843"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经营支出</w:t>
            </w:r>
          </w:p>
        </w:tc>
        <w:tc>
          <w:tcPr>
            <w:tcW w:w="1985"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对附属单位补助支出</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科目编码</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科目名称</w:t>
            </w:r>
          </w:p>
        </w:tc>
        <w:tc>
          <w:tcPr>
            <w:tcW w:w="1985"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84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843"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85"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288" w:hRule="atLeast"/>
          <w:jc w:val="center"/>
        </w:trPr>
        <w:tc>
          <w:tcPr>
            <w:tcW w:w="2992"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8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栏次</w:t>
            </w:r>
          </w:p>
        </w:tc>
        <w:tc>
          <w:tcPr>
            <w:tcW w:w="198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w:t>
            </w:r>
          </w:p>
        </w:tc>
        <w:tc>
          <w:tcPr>
            <w:tcW w:w="184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w:t>
            </w:r>
          </w:p>
        </w:tc>
        <w:tc>
          <w:tcPr>
            <w:tcW w:w="170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w:t>
            </w:r>
          </w:p>
        </w:tc>
        <w:tc>
          <w:tcPr>
            <w:tcW w:w="170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w:t>
            </w:r>
          </w:p>
        </w:tc>
        <w:tc>
          <w:tcPr>
            <w:tcW w:w="184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w:t>
            </w:r>
          </w:p>
        </w:tc>
        <w:tc>
          <w:tcPr>
            <w:tcW w:w="198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6</w:t>
            </w:r>
          </w:p>
        </w:tc>
      </w:tr>
      <w:tr>
        <w:tblPrEx>
          <w:tblCellMar>
            <w:top w:w="0" w:type="dxa"/>
            <w:left w:w="0" w:type="dxa"/>
            <w:bottom w:w="0" w:type="dxa"/>
            <w:right w:w="0" w:type="dxa"/>
          </w:tblCellMar>
        </w:tblPrEx>
        <w:trPr>
          <w:trHeight w:val="288" w:hRule="atLeast"/>
          <w:jc w:val="center"/>
        </w:trPr>
        <w:tc>
          <w:tcPr>
            <w:tcW w:w="2992"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8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合计</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40096.77</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3366.51</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36730.26</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教育支出</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39,788.74</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3,132.08</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36,656.66</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20502</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普通教育</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1,193.74</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1,193.74</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2050205</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高等教育</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1,193.74</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1,193.74</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20503</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职业教育</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38,595.00</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3,132.08</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35,462.92</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2050302</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中专教育</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8.90</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8.90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2050305</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高等职业教育</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38,586.10</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3,132.08</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35,454.02</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208</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社会保障和就业支出</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20808</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抚恤</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2080801</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死亡抚恤</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210</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医疗卫生与计划生育支出</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95.11</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93.77</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1.34</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21005</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医疗保障</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95.11</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93.77</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1.34</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2100502</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事业单位医疗</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95.11</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93.77</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1.34</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211</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节能环保支出</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10.15</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10.15</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21112</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可再生能源</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10.15</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10.15</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2111201</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可再生能源</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10.15</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10.15</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212</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城乡社区支出</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21299</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其他城乡社区支出</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2129999</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其他城乡社区支出</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221</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住房保障支出</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142.67</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140.66</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2.01</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22102</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住房改革支出</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142.67</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140.66</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2.01</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r>
        <w:tblPrEx>
          <w:tblCellMar>
            <w:top w:w="0" w:type="dxa"/>
            <w:left w:w="0" w:type="dxa"/>
            <w:bottom w:w="0" w:type="dxa"/>
            <w:right w:w="0"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2210201</w:t>
            </w:r>
          </w:p>
        </w:tc>
        <w:tc>
          <w:tcPr>
            <w:tcW w:w="18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住房公积金</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142.67</w:t>
            </w:r>
          </w:p>
        </w:tc>
        <w:tc>
          <w:tcPr>
            <w:tcW w:w="18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140.66</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2.01</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注：本表反映部门本年度各项支出情况。</w:t>
      </w: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br w:type="textWrapping"/>
      </w: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表四：财政拨款收入支出决算总表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2"/>
          <w:szCs w:val="22"/>
          <w:bdr w:val="none" w:color="auto" w:sz="0" w:space="0"/>
          <w:shd w:val="clear" w:fill="EFEFEF"/>
          <w:lang w:val="en-US" w:eastAsia="zh-CN" w:bidi="ar"/>
        </w:rPr>
        <w:t>单位：万元</w:t>
      </w:r>
    </w:p>
    <w:tbl>
      <w:tblPr>
        <w:tblW w:w="0" w:type="auto"/>
        <w:jc w:val="center"/>
        <w:shd w:val="clear"/>
        <w:tblLayout w:type="autofit"/>
        <w:tblCellMar>
          <w:top w:w="0" w:type="dxa"/>
          <w:left w:w="0" w:type="dxa"/>
          <w:bottom w:w="0" w:type="dxa"/>
          <w:right w:w="0" w:type="dxa"/>
        </w:tblCellMar>
      </w:tblPr>
      <w:tblGrid>
        <w:gridCol w:w="3805"/>
        <w:gridCol w:w="796"/>
        <w:gridCol w:w="1456"/>
        <w:gridCol w:w="3161"/>
        <w:gridCol w:w="796"/>
        <w:gridCol w:w="1456"/>
        <w:gridCol w:w="1456"/>
        <w:gridCol w:w="1294"/>
      </w:tblGrid>
      <w:tr>
        <w:tblPrEx>
          <w:shd w:val="clear"/>
          <w:tblCellMar>
            <w:top w:w="0" w:type="dxa"/>
            <w:left w:w="0" w:type="dxa"/>
            <w:bottom w:w="0" w:type="dxa"/>
            <w:right w:w="0" w:type="dxa"/>
          </w:tblCellMar>
        </w:tblPrEx>
        <w:trPr>
          <w:trHeight w:val="300" w:hRule="atLeast"/>
          <w:jc w:val="center"/>
        </w:trPr>
        <w:tc>
          <w:tcPr>
            <w:tcW w:w="5980" w:type="dxa"/>
            <w:gridSpan w:val="3"/>
            <w:tcBorders>
              <w:top w:val="single" w:color="auto" w:sz="8" w:space="0"/>
              <w:left w:val="single" w:color="auto" w:sz="8" w:space="0"/>
              <w:bottom w:val="single" w:color="auto"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ascii="MingLiU" w:hAnsi="MingLiU" w:eastAsia="MingLiU" w:cs="MingLiU"/>
                <w:color w:val="333333"/>
                <w:kern w:val="0"/>
                <w:sz w:val="22"/>
                <w:szCs w:val="22"/>
                <w:bdr w:val="none" w:color="auto" w:sz="0" w:space="0"/>
                <w:lang w:val="en-US" w:eastAsia="zh-CN" w:bidi="ar"/>
              </w:rPr>
              <w:t>收 入</w:t>
            </w:r>
          </w:p>
        </w:tc>
        <w:tc>
          <w:tcPr>
            <w:tcW w:w="7785" w:type="dxa"/>
            <w:gridSpan w:val="5"/>
            <w:tcBorders>
              <w:top w:val="single" w:color="auto" w:sz="8" w:space="0"/>
              <w:left w:val="nil"/>
              <w:bottom w:val="single" w:color="auto"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MingLiU" w:hAnsi="MingLiU" w:eastAsia="MingLiU" w:cs="MingLiU"/>
                <w:color w:val="333333"/>
                <w:kern w:val="0"/>
                <w:sz w:val="22"/>
                <w:szCs w:val="22"/>
                <w:bdr w:val="none" w:color="auto" w:sz="0" w:space="0"/>
                <w:lang w:val="en-US" w:eastAsia="zh-CN" w:bidi="ar"/>
              </w:rPr>
              <w:t>支 出</w:t>
            </w:r>
          </w:p>
        </w:tc>
      </w:tr>
      <w:tr>
        <w:tblPrEx>
          <w:tblCellMar>
            <w:top w:w="0" w:type="dxa"/>
            <w:left w:w="0" w:type="dxa"/>
            <w:bottom w:w="0" w:type="dxa"/>
            <w:right w:w="0" w:type="dxa"/>
          </w:tblCellMar>
        </w:tblPrEx>
        <w:trPr>
          <w:trHeight w:val="732"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项 目</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行次</w:t>
            </w:r>
          </w:p>
        </w:tc>
        <w:tc>
          <w:tcPr>
            <w:tcW w:w="13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金额</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项 目</w:t>
            </w:r>
          </w:p>
        </w:tc>
        <w:tc>
          <w:tcPr>
            <w:tcW w:w="6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行次</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合计</w:t>
            </w:r>
          </w:p>
        </w:tc>
        <w:tc>
          <w:tcPr>
            <w:tcW w:w="11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一般公共预算财政拨款</w:t>
            </w:r>
          </w:p>
        </w:tc>
        <w:tc>
          <w:tcPr>
            <w:tcW w:w="13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政府性基金预算财政拨款</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栏 次</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w:t>
            </w:r>
          </w:p>
        </w:tc>
        <w:tc>
          <w:tcPr>
            <w:tcW w:w="337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栏 次</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2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w:t>
            </w:r>
          </w:p>
        </w:tc>
        <w:tc>
          <w:tcPr>
            <w:tcW w:w="114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w:t>
            </w:r>
          </w:p>
        </w:tc>
        <w:tc>
          <w:tcPr>
            <w:tcW w:w="131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一、一般公共预算财政拨款</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24414.15　</w:t>
            </w:r>
          </w:p>
        </w:tc>
        <w:tc>
          <w:tcPr>
            <w:tcW w:w="337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一、一般公共服务支出</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18</w:t>
            </w:r>
          </w:p>
        </w:tc>
        <w:tc>
          <w:tcPr>
            <w:tcW w:w="12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14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31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二、政府性基金预算财政拨款</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二、外交支出</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19</w:t>
            </w:r>
          </w:p>
        </w:tc>
        <w:tc>
          <w:tcPr>
            <w:tcW w:w="12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14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31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三、教育支出</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w:t>
            </w:r>
          </w:p>
        </w:tc>
        <w:tc>
          <w:tcPr>
            <w:tcW w:w="12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23474.49　</w:t>
            </w:r>
          </w:p>
        </w:tc>
        <w:tc>
          <w:tcPr>
            <w:tcW w:w="114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23474.49</w:t>
            </w:r>
          </w:p>
        </w:tc>
        <w:tc>
          <w:tcPr>
            <w:tcW w:w="131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四、科学技术支出</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w:t>
            </w:r>
          </w:p>
        </w:tc>
        <w:tc>
          <w:tcPr>
            <w:tcW w:w="12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14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31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五、文化体育与传媒支出</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22</w:t>
            </w:r>
          </w:p>
        </w:tc>
        <w:tc>
          <w:tcPr>
            <w:tcW w:w="12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14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31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6</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八、社会保障和就业支出</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23</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4.09</w:t>
            </w:r>
          </w:p>
        </w:tc>
        <w:tc>
          <w:tcPr>
            <w:tcW w:w="11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4.09</w:t>
            </w:r>
          </w:p>
        </w:tc>
        <w:tc>
          <w:tcPr>
            <w:tcW w:w="131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7</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九、医疗卫生与计划生育支出</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24</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95.11</w:t>
            </w:r>
          </w:p>
        </w:tc>
        <w:tc>
          <w:tcPr>
            <w:tcW w:w="11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95.11</w:t>
            </w:r>
          </w:p>
        </w:tc>
        <w:tc>
          <w:tcPr>
            <w:tcW w:w="131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8</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十、节能环保支出</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25</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10.15</w:t>
            </w:r>
          </w:p>
        </w:tc>
        <w:tc>
          <w:tcPr>
            <w:tcW w:w="11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10.15</w:t>
            </w:r>
          </w:p>
        </w:tc>
        <w:tc>
          <w:tcPr>
            <w:tcW w:w="131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十一、城乡社区支出</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26</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56.00</w:t>
            </w:r>
          </w:p>
        </w:tc>
        <w:tc>
          <w:tcPr>
            <w:tcW w:w="11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56.00</w:t>
            </w:r>
          </w:p>
        </w:tc>
        <w:tc>
          <w:tcPr>
            <w:tcW w:w="131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10</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十九、住房保障支出</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27</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142.67</w:t>
            </w:r>
          </w:p>
        </w:tc>
        <w:tc>
          <w:tcPr>
            <w:tcW w:w="11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142.67</w:t>
            </w:r>
          </w:p>
        </w:tc>
        <w:tc>
          <w:tcPr>
            <w:tcW w:w="131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11</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28</w:t>
            </w:r>
          </w:p>
        </w:tc>
        <w:tc>
          <w:tcPr>
            <w:tcW w:w="373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54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本年收入合计</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12</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24414.15　</w:t>
            </w:r>
          </w:p>
        </w:tc>
        <w:tc>
          <w:tcPr>
            <w:tcW w:w="337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本年支出合计</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29</w:t>
            </w:r>
          </w:p>
        </w:tc>
        <w:tc>
          <w:tcPr>
            <w:tcW w:w="373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23782.51　</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年初财政拨款结转和结余</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13</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1436.36　</w:t>
            </w:r>
          </w:p>
        </w:tc>
        <w:tc>
          <w:tcPr>
            <w:tcW w:w="337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年末结转和结余</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30</w:t>
            </w:r>
          </w:p>
        </w:tc>
        <w:tc>
          <w:tcPr>
            <w:tcW w:w="373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2068　</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一般公共预算财政拨款</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1436.36　</w:t>
            </w:r>
          </w:p>
        </w:tc>
        <w:tc>
          <w:tcPr>
            <w:tcW w:w="337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31</w:t>
            </w:r>
          </w:p>
        </w:tc>
        <w:tc>
          <w:tcPr>
            <w:tcW w:w="373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7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政府性基金预算财政拨款</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15</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32</w:t>
            </w:r>
          </w:p>
        </w:tc>
        <w:tc>
          <w:tcPr>
            <w:tcW w:w="373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16</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33</w:t>
            </w:r>
          </w:p>
        </w:tc>
        <w:tc>
          <w:tcPr>
            <w:tcW w:w="373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401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合计</w:t>
            </w:r>
          </w:p>
        </w:tc>
        <w:tc>
          <w:tcPr>
            <w:tcW w:w="5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17</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25850.51</w:t>
            </w:r>
          </w:p>
        </w:tc>
        <w:tc>
          <w:tcPr>
            <w:tcW w:w="337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合计</w:t>
            </w:r>
          </w:p>
        </w:tc>
        <w:tc>
          <w:tcPr>
            <w:tcW w:w="6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34</w:t>
            </w:r>
          </w:p>
        </w:tc>
        <w:tc>
          <w:tcPr>
            <w:tcW w:w="373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7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25850.51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2"/>
          <w:szCs w:val="22"/>
          <w:bdr w:val="none" w:color="auto" w:sz="0" w:space="0"/>
          <w:shd w:val="clear" w:fill="EFEFEF"/>
          <w:lang w:val="en-US" w:eastAsia="zh-CN" w:bidi="ar"/>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注：本表反映部门年度</w:t>
      </w:r>
      <w:r>
        <w:rPr>
          <w:rFonts w:hint="eastAsia" w:ascii="宋体" w:hAnsi="宋体" w:eastAsia="宋体" w:cs="宋体"/>
          <w:i w:val="0"/>
          <w:iCs w:val="0"/>
          <w:caps w:val="0"/>
          <w:color w:val="333333"/>
          <w:spacing w:val="0"/>
          <w:kern w:val="0"/>
          <w:sz w:val="22"/>
          <w:szCs w:val="22"/>
          <w:bdr w:val="none" w:color="auto" w:sz="0" w:space="0"/>
          <w:shd w:val="clear" w:fill="EFEFEF"/>
          <w:lang w:val="en-US" w:eastAsia="zh-CN" w:bidi="ar"/>
        </w:rPr>
        <w:t>一般公共预算财政拨款和政府性基金预算财政拨款的总收支和年末结转结余情况。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2"/>
          <w:szCs w:val="2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br w:type="textWrapping"/>
      </w: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表五：一般公共预算财政拨款支出决算表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2"/>
          <w:szCs w:val="22"/>
          <w:bdr w:val="none" w:color="auto" w:sz="0" w:space="0"/>
          <w:shd w:val="clear" w:fill="EFEFEF"/>
          <w:lang w:val="en-US" w:eastAsia="zh-CN" w:bidi="ar"/>
        </w:rPr>
        <w:t>单位：万元</w:t>
      </w:r>
    </w:p>
    <w:tbl>
      <w:tblPr>
        <w:tblW w:w="0" w:type="auto"/>
        <w:jc w:val="center"/>
        <w:shd w:val="clear"/>
        <w:tblLayout w:type="autofit"/>
        <w:tblCellMar>
          <w:top w:w="0" w:type="dxa"/>
          <w:left w:w="0" w:type="dxa"/>
          <w:bottom w:w="0" w:type="dxa"/>
          <w:right w:w="0" w:type="dxa"/>
        </w:tblCellMar>
      </w:tblPr>
      <w:tblGrid>
        <w:gridCol w:w="1350"/>
        <w:gridCol w:w="3155"/>
        <w:gridCol w:w="3050"/>
        <w:gridCol w:w="3050"/>
        <w:gridCol w:w="3569"/>
      </w:tblGrid>
      <w:tr>
        <w:tblPrEx>
          <w:shd w:val="clear"/>
          <w:tblCellMar>
            <w:top w:w="0" w:type="dxa"/>
            <w:left w:w="0" w:type="dxa"/>
            <w:bottom w:w="0" w:type="dxa"/>
            <w:right w:w="0" w:type="dxa"/>
          </w:tblCellMar>
        </w:tblPrEx>
        <w:trPr>
          <w:trHeight w:val="300" w:hRule="atLeast"/>
          <w:jc w:val="center"/>
        </w:trPr>
        <w:tc>
          <w:tcPr>
            <w:tcW w:w="4505"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MingLiU" w:hAnsi="MingLiU" w:eastAsia="MingLiU" w:cs="MingLiU"/>
                <w:color w:val="333333"/>
                <w:kern w:val="0"/>
                <w:sz w:val="22"/>
                <w:szCs w:val="22"/>
                <w:bdr w:val="none" w:color="auto" w:sz="0" w:space="0"/>
                <w:lang w:val="en-US" w:eastAsia="zh-CN" w:bidi="ar"/>
              </w:rPr>
              <w:t>项 目</w:t>
            </w:r>
          </w:p>
        </w:tc>
        <w:tc>
          <w:tcPr>
            <w:tcW w:w="305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MingLiU" w:hAnsi="MingLiU" w:eastAsia="MingLiU" w:cs="MingLiU"/>
                <w:color w:val="333333"/>
                <w:kern w:val="0"/>
                <w:sz w:val="22"/>
                <w:szCs w:val="22"/>
                <w:bdr w:val="none" w:color="auto" w:sz="0" w:space="0"/>
                <w:lang w:val="en-US" w:eastAsia="zh-CN" w:bidi="ar"/>
              </w:rPr>
              <w:t>合计</w:t>
            </w:r>
          </w:p>
        </w:tc>
        <w:tc>
          <w:tcPr>
            <w:tcW w:w="305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MingLiU" w:hAnsi="MingLiU" w:eastAsia="MingLiU" w:cs="MingLiU"/>
                <w:color w:val="333333"/>
                <w:kern w:val="0"/>
                <w:sz w:val="22"/>
                <w:szCs w:val="22"/>
                <w:bdr w:val="none" w:color="auto" w:sz="0" w:space="0"/>
                <w:lang w:val="en-US" w:eastAsia="zh-CN" w:bidi="ar"/>
              </w:rPr>
              <w:t>基本支出</w:t>
            </w:r>
          </w:p>
        </w:tc>
        <w:tc>
          <w:tcPr>
            <w:tcW w:w="356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MingLiU" w:hAnsi="MingLiU" w:eastAsia="MingLiU" w:cs="MingLiU"/>
                <w:color w:val="333333"/>
                <w:kern w:val="0"/>
                <w:sz w:val="22"/>
                <w:szCs w:val="22"/>
                <w:bdr w:val="none" w:color="auto" w:sz="0" w:space="0"/>
                <w:lang w:val="en-US" w:eastAsia="zh-CN" w:bidi="ar"/>
              </w:rPr>
              <w:t>项目支出</w:t>
            </w:r>
          </w:p>
        </w:tc>
      </w:tr>
      <w:tr>
        <w:tblPrEx>
          <w:tblCellMar>
            <w:top w:w="0" w:type="dxa"/>
            <w:left w:w="0" w:type="dxa"/>
            <w:bottom w:w="0" w:type="dxa"/>
            <w:right w:w="0" w:type="dxa"/>
          </w:tblCellMar>
        </w:tblPrEx>
        <w:trPr>
          <w:trHeight w:val="32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color w:val="333333"/>
                <w:sz w:val="21"/>
                <w:szCs w:val="21"/>
              </w:rPr>
            </w:pPr>
            <w:r>
              <w:rPr>
                <w:rFonts w:hint="eastAsia" w:ascii="MingLiU" w:hAnsi="MingLiU" w:eastAsia="MingLiU" w:cs="MingLiU"/>
                <w:color w:val="333333"/>
                <w:kern w:val="0"/>
                <w:sz w:val="22"/>
                <w:szCs w:val="22"/>
                <w:bdr w:val="none" w:color="auto" w:sz="0" w:space="0"/>
                <w:lang w:val="en-US" w:eastAsia="zh-CN" w:bidi="ar"/>
              </w:rPr>
              <w:t>科目编码</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MingLiU" w:hAnsi="MingLiU" w:eastAsia="MingLiU" w:cs="MingLiU"/>
                <w:color w:val="333333"/>
                <w:kern w:val="0"/>
                <w:sz w:val="22"/>
                <w:szCs w:val="22"/>
                <w:bdr w:val="none" w:color="auto" w:sz="0" w:space="0"/>
                <w:lang w:val="en-US" w:eastAsia="zh-CN" w:bidi="ar"/>
              </w:rPr>
              <w:t>科目名称</w:t>
            </w:r>
          </w:p>
        </w:tc>
        <w:tc>
          <w:tcPr>
            <w:tcW w:w="305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05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56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264" w:hRule="atLeast"/>
          <w:jc w:val="center"/>
        </w:trPr>
        <w:tc>
          <w:tcPr>
            <w:tcW w:w="4505"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MingLiU" w:hAnsi="MingLiU" w:eastAsia="MingLiU" w:cs="MingLiU"/>
                <w:b/>
                <w:bCs/>
                <w:color w:val="333333"/>
                <w:kern w:val="0"/>
                <w:sz w:val="18"/>
                <w:szCs w:val="18"/>
                <w:bdr w:val="none" w:color="auto" w:sz="0" w:space="0"/>
                <w:lang w:val="en-US" w:eastAsia="zh-CN" w:bidi="ar"/>
              </w:rPr>
              <w:t>栏次</w:t>
            </w:r>
          </w:p>
        </w:tc>
        <w:tc>
          <w:tcPr>
            <w:tcW w:w="30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1</w:t>
            </w:r>
          </w:p>
        </w:tc>
        <w:tc>
          <w:tcPr>
            <w:tcW w:w="30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2</w:t>
            </w:r>
          </w:p>
        </w:tc>
        <w:tc>
          <w:tcPr>
            <w:tcW w:w="356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3</w:t>
            </w:r>
          </w:p>
        </w:tc>
      </w:tr>
      <w:tr>
        <w:tblPrEx>
          <w:tblCellMar>
            <w:top w:w="0" w:type="dxa"/>
            <w:left w:w="0" w:type="dxa"/>
            <w:bottom w:w="0" w:type="dxa"/>
            <w:right w:w="0" w:type="dxa"/>
          </w:tblCellMar>
        </w:tblPrEx>
        <w:trPr>
          <w:trHeight w:val="300" w:hRule="atLeast"/>
          <w:jc w:val="center"/>
        </w:trPr>
        <w:tc>
          <w:tcPr>
            <w:tcW w:w="4505"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MingLiU" w:hAnsi="MingLiU" w:eastAsia="MingLiU" w:cs="MingLiU"/>
                <w:color w:val="333333"/>
                <w:kern w:val="0"/>
                <w:sz w:val="22"/>
                <w:szCs w:val="22"/>
                <w:bdr w:val="none" w:color="auto" w:sz="0" w:space="0"/>
                <w:lang w:val="en-US" w:eastAsia="zh-CN" w:bidi="ar"/>
              </w:rPr>
              <w:t>合计</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23,782.51</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2,944.32</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20,838.19</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教育支出</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23,474.48</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2,709.89</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20,764.60</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20502</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普通教育</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1,193.74</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1,193.74</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2050205</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高等教育</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1,193.74</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1,193.74</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20503</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职业教育</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22,280.74</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2,709.89</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19,570.86</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2050302</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中专教育</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8.90</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8.90</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2050305</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高等职业教育</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22,271.85</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2,709.89</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19,561.96</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208</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社会保障和就业支出</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20808</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抚恤</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2080801</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死亡抚恤</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4.09</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210</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医疗卫生与计划生育支出</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95.11</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93.77</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1.34</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21005</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医疗保障</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95.11</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93.77</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1.34</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2100502</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事业单位医疗</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95.11</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93.77</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1.34</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211</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节能环保支出</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10.15</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10.15</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21112</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可再生能源</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10.15</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10.15</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2111201</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可再生能源</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10.15</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10.15</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212</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城乡社区支出</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21299</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其他城乡社区支出</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2129999</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其他城乡社区支出</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56.00</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221</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住房保障支出</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142.67</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140.66</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2.01</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22102</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住房改革支出</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142.67</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140.66</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2.01</w:t>
            </w:r>
          </w:p>
        </w:tc>
      </w:tr>
      <w:tr>
        <w:tblPrEx>
          <w:tblCellMar>
            <w:top w:w="0" w:type="dxa"/>
            <w:left w:w="0" w:type="dxa"/>
            <w:bottom w:w="0" w:type="dxa"/>
            <w:right w:w="0"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2210201</w:t>
            </w:r>
          </w:p>
        </w:tc>
        <w:tc>
          <w:tcPr>
            <w:tcW w:w="31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住房公积金</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142.67</w:t>
            </w:r>
          </w:p>
        </w:tc>
        <w:tc>
          <w:tcPr>
            <w:tcW w:w="30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140.66</w:t>
            </w:r>
          </w:p>
        </w:tc>
        <w:tc>
          <w:tcPr>
            <w:tcW w:w="35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2.01</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注：本表反映部门年度一般公共预算财政拨款实际支出情况。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表六：一般公共预算财政拨款基本支出决算表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30" w:firstLine="360"/>
        <w:jc w:val="righ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2"/>
          <w:szCs w:val="22"/>
          <w:bdr w:val="none" w:color="auto" w:sz="0" w:space="0"/>
          <w:shd w:val="clear" w:fill="EFEFEF"/>
          <w:lang w:val="en-US" w:eastAsia="zh-CN" w:bidi="ar"/>
        </w:rPr>
        <w:t>单位：万元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tbl>
      <w:tblPr>
        <w:tblW w:w="0" w:type="auto"/>
        <w:jc w:val="center"/>
        <w:shd w:val="clear"/>
        <w:tblLayout w:type="autofit"/>
        <w:tblCellMar>
          <w:top w:w="0" w:type="dxa"/>
          <w:left w:w="0" w:type="dxa"/>
          <w:bottom w:w="0" w:type="dxa"/>
          <w:right w:w="0" w:type="dxa"/>
        </w:tblCellMar>
      </w:tblPr>
      <w:tblGrid>
        <w:gridCol w:w="1076"/>
        <w:gridCol w:w="3216"/>
        <w:gridCol w:w="1463"/>
        <w:gridCol w:w="1076"/>
        <w:gridCol w:w="1668"/>
        <w:gridCol w:w="1463"/>
      </w:tblGrid>
      <w:tr>
        <w:tblPrEx>
          <w:shd w:val="clear"/>
          <w:tblCellMar>
            <w:top w:w="0" w:type="dxa"/>
            <w:left w:w="0" w:type="dxa"/>
            <w:bottom w:w="0" w:type="dxa"/>
            <w:right w:w="0" w:type="dxa"/>
          </w:tblCellMar>
        </w:tblPrEx>
        <w:trPr>
          <w:trHeight w:val="288" w:hRule="atLeast"/>
          <w:jc w:val="center"/>
        </w:trPr>
        <w:tc>
          <w:tcPr>
            <w:tcW w:w="4927" w:type="dxa"/>
            <w:gridSpan w:val="3"/>
            <w:tcBorders>
              <w:top w:val="single" w:color="auto" w:sz="8" w:space="0"/>
              <w:left w:val="single" w:color="auto"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人员经费</w:t>
            </w:r>
          </w:p>
        </w:tc>
        <w:tc>
          <w:tcPr>
            <w:tcW w:w="3601" w:type="dxa"/>
            <w:gridSpan w:val="3"/>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公用经费</w:t>
            </w:r>
          </w:p>
        </w:tc>
      </w:tr>
      <w:tr>
        <w:tblPrEx>
          <w:tblCellMar>
            <w:top w:w="0" w:type="dxa"/>
            <w:left w:w="0" w:type="dxa"/>
            <w:bottom w:w="0" w:type="dxa"/>
            <w:right w:w="0" w:type="dxa"/>
          </w:tblCellMar>
        </w:tblPrEx>
        <w:trPr>
          <w:trHeight w:val="576"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经济分类科目编码</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科目名称</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金额</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经济分类科目编码</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科目名称</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金额</w:t>
            </w:r>
          </w:p>
        </w:tc>
      </w:tr>
      <w:tr>
        <w:tblPrEx>
          <w:tblCellMar>
            <w:top w:w="0" w:type="dxa"/>
            <w:left w:w="0" w:type="dxa"/>
            <w:bottom w:w="0" w:type="dxa"/>
            <w:right w:w="0" w:type="dxa"/>
          </w:tblCellMar>
        </w:tblPrEx>
        <w:trPr>
          <w:trHeight w:val="40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b/>
                <w:bCs/>
                <w:color w:val="000000"/>
                <w:kern w:val="0"/>
                <w:sz w:val="20"/>
                <w:szCs w:val="20"/>
                <w:bdr w:val="none" w:color="auto" w:sz="0" w:space="0"/>
                <w:lang w:val="en-US" w:eastAsia="zh-CN" w:bidi="ar"/>
              </w:rPr>
              <w:t>301</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b/>
                <w:bCs/>
                <w:color w:val="000000"/>
                <w:kern w:val="0"/>
                <w:sz w:val="20"/>
                <w:szCs w:val="20"/>
                <w:bdr w:val="none" w:color="auto" w:sz="0" w:space="0"/>
                <w:lang w:val="en-US" w:eastAsia="zh-CN" w:bidi="ar"/>
              </w:rPr>
              <w:t>工资福利支出</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b/>
                <w:bCs/>
                <w:color w:val="000000"/>
                <w:kern w:val="0"/>
                <w:sz w:val="22"/>
                <w:szCs w:val="22"/>
                <w:bdr w:val="none" w:color="auto" w:sz="0" w:space="0"/>
                <w:lang w:val="en-US" w:eastAsia="zh-CN" w:bidi="ar"/>
              </w:rPr>
              <w:t>1,375.41</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b/>
                <w:bCs/>
                <w:color w:val="000000"/>
                <w:kern w:val="0"/>
                <w:sz w:val="20"/>
                <w:szCs w:val="20"/>
                <w:bdr w:val="none" w:color="auto" w:sz="0" w:space="0"/>
                <w:lang w:val="en-US" w:eastAsia="zh-CN" w:bidi="ar"/>
              </w:rPr>
              <w:t>302</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b/>
                <w:bCs/>
                <w:color w:val="000000"/>
                <w:kern w:val="0"/>
                <w:sz w:val="20"/>
                <w:szCs w:val="20"/>
                <w:bdr w:val="none" w:color="auto" w:sz="0" w:space="0"/>
                <w:lang w:val="en-US" w:eastAsia="zh-CN" w:bidi="ar"/>
              </w:rPr>
              <w:t>商品和服务支出</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b/>
                <w:bCs/>
                <w:color w:val="000000"/>
                <w:kern w:val="0"/>
                <w:sz w:val="22"/>
                <w:szCs w:val="22"/>
                <w:bdr w:val="none" w:color="auto" w:sz="0" w:space="0"/>
                <w:lang w:val="en-US" w:eastAsia="zh-CN" w:bidi="ar"/>
              </w:rPr>
              <w:t>1,127.81</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30101</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基本工资</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1,253.50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30201</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办公费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15.23</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30102</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津贴补贴</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0.01</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30202</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印刷费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4.25</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30103</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奖金</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30203</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咨询费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30104</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其他社会保障缴费</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121.90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30204</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手续费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30106</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伙食补助费</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30205</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水费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174.51</w:t>
            </w:r>
          </w:p>
        </w:tc>
      </w:tr>
      <w:tr>
        <w:tblPrEx>
          <w:tblCellMar>
            <w:top w:w="0" w:type="dxa"/>
            <w:left w:w="0" w:type="dxa"/>
            <w:bottom w:w="0" w:type="dxa"/>
            <w:right w:w="0" w:type="dxa"/>
          </w:tblCellMar>
        </w:tblPrEx>
        <w:trPr>
          <w:trHeight w:val="576"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30107</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绩效工资</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30206</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电费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165.44</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30108</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机关事业单位基本养老保险缴费</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30207</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邮电费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17.13</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30109</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职业年金缴费</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30208</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取暖费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30199</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其他工资福利支出</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30209</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物业管理费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422.83</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对个人和家庭的补助</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441.10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30211</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差旅费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28.83</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30301</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离休费</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18.45</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30212</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因公出国（境）费用</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30302</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退休费</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234.43</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30213</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维修(护)费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110.22</w:t>
            </w:r>
          </w:p>
        </w:tc>
      </w:tr>
      <w:tr>
        <w:tblPrEx>
          <w:tblCellMar>
            <w:top w:w="0" w:type="dxa"/>
            <w:left w:w="0" w:type="dxa"/>
            <w:bottom w:w="0" w:type="dxa"/>
            <w:right w:w="0" w:type="dxa"/>
          </w:tblCellMar>
        </w:tblPrEx>
        <w:trPr>
          <w:trHeight w:val="576"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30303</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退职（役）费</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30214</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租赁费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30304</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抚恤金</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30215</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会议费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30305</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生活补助</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0.68</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30216</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培训费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30306</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救济费</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30217</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公务接待费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30307</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医疗费</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30218</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专用材料费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44.66</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30308</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助学金</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30224</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被装购置费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30309</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奖励金</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30225</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专用燃料费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30310</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生产补贴</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30226</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劳务费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30311</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住房公积金</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140.66</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30227</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委托业务费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30312</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提租补贴</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30228</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工会经费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23.44</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30313</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购房补贴</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30229</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福利费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30314</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采暖补贴</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30231</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公务用车运行维护费</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30315</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物业服务补贴</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30239</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其他交通费用</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30399</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其他对个人和家庭的补助支出</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46.88</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30240</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税金及附加费用</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30299</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其他商品和服务支出</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121.29</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b/>
                <w:bCs/>
                <w:color w:val="000000"/>
                <w:kern w:val="0"/>
                <w:sz w:val="20"/>
                <w:szCs w:val="20"/>
                <w:bdr w:val="none" w:color="auto" w:sz="0" w:space="0"/>
                <w:lang w:val="en-US" w:eastAsia="zh-CN" w:bidi="ar"/>
              </w:rPr>
              <w:t>310</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b/>
                <w:bCs/>
                <w:color w:val="000000"/>
                <w:kern w:val="0"/>
                <w:sz w:val="20"/>
                <w:szCs w:val="20"/>
                <w:bdr w:val="none" w:color="auto" w:sz="0" w:space="0"/>
                <w:lang w:val="en-US" w:eastAsia="zh-CN" w:bidi="ar"/>
              </w:rPr>
              <w:t>其他资本性支出</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0</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31001</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房屋建筑物购建</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0</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31099</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其他资本性支出</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0</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304</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对企事业单位的补贴</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0</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30401</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企业政策性补贴</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0</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b/>
                <w:bCs/>
                <w:color w:val="000000"/>
                <w:kern w:val="0"/>
                <w:sz w:val="20"/>
                <w:szCs w:val="20"/>
                <w:bdr w:val="none" w:color="auto" w:sz="0" w:space="0"/>
                <w:lang w:val="en-US" w:eastAsia="zh-CN" w:bidi="ar"/>
              </w:rPr>
              <w:t>307</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b/>
                <w:bCs/>
                <w:color w:val="000000"/>
                <w:kern w:val="0"/>
                <w:sz w:val="20"/>
                <w:szCs w:val="20"/>
                <w:bdr w:val="none" w:color="auto" w:sz="0" w:space="0"/>
                <w:lang w:val="en-US" w:eastAsia="zh-CN" w:bidi="ar"/>
              </w:rPr>
              <w:t>债务付息支出</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0</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30701</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  国内债务付息</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0"/>
                <w:szCs w:val="20"/>
                <w:bdr w:val="none" w:color="auto" w:sz="0" w:space="0"/>
                <w:lang w:val="en-US" w:eastAsia="zh-CN" w:bidi="ar"/>
              </w:rPr>
              <w:t>0</w:t>
            </w:r>
          </w:p>
        </w:tc>
      </w:tr>
      <w:tr>
        <w:tblPrEx>
          <w:tblCellMar>
            <w:top w:w="0" w:type="dxa"/>
            <w:left w:w="0" w:type="dxa"/>
            <w:bottom w:w="0" w:type="dxa"/>
            <w:right w:w="0" w:type="dxa"/>
          </w:tblCellMar>
        </w:tblPrEx>
        <w:trPr>
          <w:trHeight w:val="288" w:hRule="atLeast"/>
          <w:jc w:val="center"/>
        </w:trPr>
        <w:tc>
          <w:tcPr>
            <w:tcW w:w="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3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p>
        </w:tc>
      </w:tr>
      <w:tr>
        <w:tblPrEx>
          <w:tblCellMar>
            <w:top w:w="0" w:type="dxa"/>
            <w:left w:w="0" w:type="dxa"/>
            <w:bottom w:w="0" w:type="dxa"/>
            <w:right w:w="0" w:type="dxa"/>
          </w:tblCellMar>
        </w:tblPrEx>
        <w:trPr>
          <w:trHeight w:val="288" w:hRule="atLeast"/>
          <w:jc w:val="center"/>
        </w:trPr>
        <w:tc>
          <w:tcPr>
            <w:tcW w:w="3932" w:type="dxa"/>
            <w:gridSpan w:val="2"/>
            <w:tcBorders>
              <w:top w:val="nil"/>
              <w:left w:val="single" w:color="auto"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人员经费合计</w:t>
            </w:r>
          </w:p>
        </w:tc>
        <w:tc>
          <w:tcPr>
            <w:tcW w:w="9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1,816.51</w:t>
            </w:r>
          </w:p>
        </w:tc>
        <w:tc>
          <w:tcPr>
            <w:tcW w:w="2386" w:type="dxa"/>
            <w:gridSpan w:val="2"/>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公用经费合计</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　</w:t>
            </w:r>
            <w:r>
              <w:rPr>
                <w:rFonts w:hint="eastAsia" w:ascii="宋体" w:hAnsi="宋体" w:eastAsia="宋体" w:cs="宋体"/>
                <w:color w:val="333333"/>
                <w:kern w:val="0"/>
                <w:sz w:val="20"/>
                <w:szCs w:val="20"/>
                <w:bdr w:val="none" w:color="auto" w:sz="0" w:space="0"/>
                <w:lang w:val="en-US" w:eastAsia="zh-CN" w:bidi="ar"/>
              </w:rPr>
              <w:t>1,127.81</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注：本表反映部门本年度一般公共预算财政拨款基本支出明细情况。</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表七：一般公共预算财政拨款安排的“三公”经费支出决算表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单位：万元</w:t>
      </w:r>
    </w:p>
    <w:tbl>
      <w:tblPr>
        <w:tblW w:w="0" w:type="auto"/>
        <w:jc w:val="center"/>
        <w:shd w:val="clear"/>
        <w:tblLayout w:type="autofit"/>
        <w:tblCellMar>
          <w:top w:w="0" w:type="dxa"/>
          <w:left w:w="0" w:type="dxa"/>
          <w:bottom w:w="0" w:type="dxa"/>
          <w:right w:w="0" w:type="dxa"/>
        </w:tblCellMar>
      </w:tblPr>
      <w:tblGrid>
        <w:gridCol w:w="829"/>
        <w:gridCol w:w="1603"/>
        <w:gridCol w:w="828"/>
        <w:gridCol w:w="1242"/>
        <w:gridCol w:w="1242"/>
        <w:gridCol w:w="1216"/>
        <w:gridCol w:w="816"/>
        <w:gridCol w:w="1560"/>
        <w:gridCol w:w="816"/>
        <w:gridCol w:w="1398"/>
        <w:gridCol w:w="1208"/>
        <w:gridCol w:w="1183"/>
      </w:tblGrid>
      <w:tr>
        <w:tblPrEx>
          <w:shd w:val="clear"/>
          <w:tblCellMar>
            <w:top w:w="0" w:type="dxa"/>
            <w:left w:w="0" w:type="dxa"/>
            <w:bottom w:w="0" w:type="dxa"/>
            <w:right w:w="0" w:type="dxa"/>
          </w:tblCellMar>
        </w:tblPrEx>
        <w:trPr>
          <w:trHeight w:val="540" w:hRule="atLeast"/>
          <w:jc w:val="center"/>
        </w:trPr>
        <w:tc>
          <w:tcPr>
            <w:tcW w:w="6960" w:type="dxa"/>
            <w:gridSpan w:val="6"/>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2016年度预算数</w:t>
            </w:r>
          </w:p>
        </w:tc>
        <w:tc>
          <w:tcPr>
            <w:tcW w:w="6961" w:type="dxa"/>
            <w:gridSpan w:val="6"/>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2016年度决算数</w:t>
            </w:r>
          </w:p>
        </w:tc>
      </w:tr>
      <w:tr>
        <w:tblPrEx>
          <w:tblCellMar>
            <w:top w:w="0" w:type="dxa"/>
            <w:left w:w="0" w:type="dxa"/>
            <w:bottom w:w="0" w:type="dxa"/>
            <w:right w:w="0" w:type="dxa"/>
          </w:tblCellMar>
        </w:tblPrEx>
        <w:trPr>
          <w:trHeight w:val="396" w:hRule="atLeast"/>
          <w:jc w:val="center"/>
        </w:trPr>
        <w:tc>
          <w:tcPr>
            <w:tcW w:w="82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合计</w:t>
            </w:r>
          </w:p>
        </w:tc>
        <w:tc>
          <w:tcPr>
            <w:tcW w:w="160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因公出国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（境）费</w:t>
            </w:r>
          </w:p>
        </w:tc>
        <w:tc>
          <w:tcPr>
            <w:tcW w:w="331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公务用车购置及运行费</w:t>
            </w:r>
          </w:p>
        </w:tc>
        <w:tc>
          <w:tcPr>
            <w:tcW w:w="121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公务接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待费</w:t>
            </w:r>
          </w:p>
        </w:tc>
        <w:tc>
          <w:tcPr>
            <w:tcW w:w="80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合计</w:t>
            </w:r>
          </w:p>
        </w:tc>
        <w:tc>
          <w:tcPr>
            <w:tcW w:w="156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因公出国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（境）费</w:t>
            </w:r>
          </w:p>
        </w:tc>
        <w:tc>
          <w:tcPr>
            <w:tcW w:w="341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公务用车购置及运行费</w:t>
            </w:r>
          </w:p>
        </w:tc>
        <w:tc>
          <w:tcPr>
            <w:tcW w:w="118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公务接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待费</w:t>
            </w:r>
          </w:p>
        </w:tc>
      </w:tr>
      <w:tr>
        <w:tblPrEx>
          <w:tblCellMar>
            <w:top w:w="0" w:type="dxa"/>
            <w:left w:w="0" w:type="dxa"/>
            <w:bottom w:w="0" w:type="dxa"/>
            <w:right w:w="0" w:type="dxa"/>
          </w:tblCellMar>
        </w:tblPrEx>
        <w:trPr>
          <w:trHeight w:val="576" w:hRule="atLeast"/>
          <w:jc w:val="center"/>
        </w:trPr>
        <w:tc>
          <w:tcPr>
            <w:tcW w:w="82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60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小计</w:t>
            </w:r>
          </w:p>
        </w:tc>
        <w:tc>
          <w:tcPr>
            <w:tcW w:w="12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公务用车 购置费</w:t>
            </w:r>
          </w:p>
        </w:tc>
        <w:tc>
          <w:tcPr>
            <w:tcW w:w="12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公务用车 运行费</w:t>
            </w:r>
          </w:p>
        </w:tc>
        <w:tc>
          <w:tcPr>
            <w:tcW w:w="121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0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小计</w:t>
            </w:r>
          </w:p>
        </w:tc>
        <w:tc>
          <w:tcPr>
            <w:tcW w:w="13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公务用车 购置费</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公务用车 运行费</w:t>
            </w:r>
          </w:p>
        </w:tc>
        <w:tc>
          <w:tcPr>
            <w:tcW w:w="118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600" w:hRule="atLeast"/>
          <w:jc w:val="center"/>
        </w:trPr>
        <w:tc>
          <w:tcPr>
            <w:tcW w:w="8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w:t>
            </w:r>
          </w:p>
        </w:tc>
        <w:tc>
          <w:tcPr>
            <w:tcW w:w="16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2</w:t>
            </w:r>
          </w:p>
        </w:tc>
        <w:tc>
          <w:tcPr>
            <w:tcW w:w="82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3</w:t>
            </w:r>
          </w:p>
        </w:tc>
        <w:tc>
          <w:tcPr>
            <w:tcW w:w="124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4</w:t>
            </w:r>
          </w:p>
        </w:tc>
        <w:tc>
          <w:tcPr>
            <w:tcW w:w="124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5</w:t>
            </w:r>
          </w:p>
        </w:tc>
        <w:tc>
          <w:tcPr>
            <w:tcW w:w="121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6</w:t>
            </w:r>
          </w:p>
        </w:tc>
        <w:tc>
          <w:tcPr>
            <w:tcW w:w="80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7</w:t>
            </w:r>
          </w:p>
        </w:tc>
        <w:tc>
          <w:tcPr>
            <w:tcW w:w="15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8</w:t>
            </w:r>
          </w:p>
        </w:tc>
        <w:tc>
          <w:tcPr>
            <w:tcW w:w="80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9</w:t>
            </w:r>
          </w:p>
        </w:tc>
        <w:tc>
          <w:tcPr>
            <w:tcW w:w="13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10</w:t>
            </w:r>
          </w:p>
        </w:tc>
        <w:tc>
          <w:tcPr>
            <w:tcW w:w="120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11</w:t>
            </w:r>
          </w:p>
        </w:tc>
        <w:tc>
          <w:tcPr>
            <w:tcW w:w="11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000000"/>
                <w:kern w:val="0"/>
                <w:sz w:val="22"/>
                <w:szCs w:val="22"/>
                <w:bdr w:val="none" w:color="auto" w:sz="0" w:space="0"/>
                <w:lang w:val="en-US" w:eastAsia="zh-CN" w:bidi="ar"/>
              </w:rPr>
              <w:t>12</w:t>
            </w:r>
          </w:p>
        </w:tc>
      </w:tr>
      <w:tr>
        <w:tblPrEx>
          <w:tblCellMar>
            <w:top w:w="0" w:type="dxa"/>
            <w:left w:w="0" w:type="dxa"/>
            <w:bottom w:w="0" w:type="dxa"/>
            <w:right w:w="0" w:type="dxa"/>
          </w:tblCellMar>
        </w:tblPrEx>
        <w:trPr>
          <w:trHeight w:val="564" w:hRule="atLeast"/>
          <w:jc w:val="center"/>
        </w:trPr>
        <w:tc>
          <w:tcPr>
            <w:tcW w:w="82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13.3</w:t>
            </w:r>
          </w:p>
        </w:tc>
        <w:tc>
          <w:tcPr>
            <w:tcW w:w="16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6</w:t>
            </w:r>
          </w:p>
        </w:tc>
        <w:tc>
          <w:tcPr>
            <w:tcW w:w="8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3.8</w:t>
            </w:r>
          </w:p>
        </w:tc>
        <w:tc>
          <w:tcPr>
            <w:tcW w:w="12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0</w:t>
            </w:r>
          </w:p>
        </w:tc>
        <w:tc>
          <w:tcPr>
            <w:tcW w:w="12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3.8</w:t>
            </w:r>
          </w:p>
        </w:tc>
        <w:tc>
          <w:tcPr>
            <w:tcW w:w="12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3.5</w:t>
            </w:r>
          </w:p>
        </w:tc>
        <w:tc>
          <w:tcPr>
            <w:tcW w:w="8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4.62</w:t>
            </w:r>
          </w:p>
        </w:tc>
        <w:tc>
          <w:tcPr>
            <w:tcW w:w="15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0</w:t>
            </w:r>
          </w:p>
        </w:tc>
        <w:tc>
          <w:tcPr>
            <w:tcW w:w="8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2.64</w:t>
            </w:r>
          </w:p>
        </w:tc>
        <w:tc>
          <w:tcPr>
            <w:tcW w:w="13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0</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2.64</w:t>
            </w:r>
          </w:p>
        </w:tc>
        <w:tc>
          <w:tcPr>
            <w:tcW w:w="11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1.98</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注：本表反映部门本年度“三公”经费支出预决算情况。其中。2016年度预算数为“三公”经费年初预算数，决算数是包括当年一般公共预算财政拨款和以前年度结转资金安排的实际支出。</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表八：政府性基金预算财政拨款收入支出决算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单位：万元</w:t>
      </w:r>
    </w:p>
    <w:tbl>
      <w:tblPr>
        <w:tblW w:w="0" w:type="auto"/>
        <w:tblInd w:w="0" w:type="dxa"/>
        <w:shd w:val="clear"/>
        <w:tblLayout w:type="autofit"/>
        <w:tblCellMar>
          <w:top w:w="0" w:type="dxa"/>
          <w:left w:w="0" w:type="dxa"/>
          <w:bottom w:w="0" w:type="dxa"/>
          <w:right w:w="0" w:type="dxa"/>
        </w:tblCellMar>
      </w:tblPr>
      <w:tblGrid>
        <w:gridCol w:w="1095"/>
        <w:gridCol w:w="1280"/>
        <w:gridCol w:w="1916"/>
        <w:gridCol w:w="1916"/>
        <w:gridCol w:w="1916"/>
        <w:gridCol w:w="1916"/>
        <w:gridCol w:w="1918"/>
        <w:gridCol w:w="1905"/>
        <w:gridCol w:w="250"/>
      </w:tblGrid>
      <w:tr>
        <w:tblPrEx>
          <w:shd w:val="clear"/>
          <w:tblCellMar>
            <w:top w:w="0" w:type="dxa"/>
            <w:left w:w="0" w:type="dxa"/>
            <w:bottom w:w="0" w:type="dxa"/>
            <w:right w:w="0" w:type="dxa"/>
          </w:tblCellMar>
        </w:tblPrEx>
        <w:trPr>
          <w:trHeight w:val="405" w:hRule="atLeast"/>
        </w:trPr>
        <w:tc>
          <w:tcPr>
            <w:tcW w:w="239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项 </w:t>
            </w:r>
            <w:r>
              <w:rPr>
                <w:rFonts w:hint="eastAsia" w:ascii="宋体" w:hAnsi="宋体" w:eastAsia="宋体" w:cs="宋体"/>
                <w:color w:val="000000"/>
                <w:kern w:val="0"/>
                <w:sz w:val="22"/>
                <w:szCs w:val="22"/>
                <w:bdr w:val="none" w:color="auto" w:sz="0" w:space="0"/>
                <w:lang w:val="en-US" w:eastAsia="zh-CN" w:bidi="ar"/>
              </w:rPr>
              <w:t>   </w:t>
            </w:r>
            <w:r>
              <w:rPr>
                <w:rFonts w:hint="eastAsia" w:ascii="宋体" w:hAnsi="宋体" w:eastAsia="宋体" w:cs="宋体"/>
                <w:color w:val="333333"/>
                <w:kern w:val="0"/>
                <w:sz w:val="24"/>
                <w:szCs w:val="24"/>
                <w:bdr w:val="none" w:color="auto" w:sz="0" w:space="0"/>
                <w:lang w:val="en-US" w:eastAsia="zh-CN" w:bidi="ar"/>
              </w:rPr>
              <w:t>目</w:t>
            </w:r>
          </w:p>
        </w:tc>
        <w:tc>
          <w:tcPr>
            <w:tcW w:w="1965" w:type="dxa"/>
            <w:vMerge w:val="restart"/>
            <w:tcBorders>
              <w:top w:val="single" w:color="auto" w:sz="8" w:space="0"/>
              <w:left w:val="nil"/>
              <w:bottom w:val="single" w:color="000000"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年初结转和结余</w:t>
            </w:r>
          </w:p>
        </w:tc>
        <w:tc>
          <w:tcPr>
            <w:tcW w:w="1965" w:type="dxa"/>
            <w:vMerge w:val="restart"/>
            <w:tcBorders>
              <w:top w:val="single" w:color="auto" w:sz="8" w:space="0"/>
              <w:left w:val="single" w:color="auto"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本年收入</w:t>
            </w:r>
          </w:p>
        </w:tc>
        <w:tc>
          <w:tcPr>
            <w:tcW w:w="5897" w:type="dxa"/>
            <w:gridSpan w:val="3"/>
            <w:tcBorders>
              <w:top w:val="single" w:color="auto" w:sz="8" w:space="0"/>
              <w:left w:val="nil"/>
              <w:bottom w:val="single" w:color="auto"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本年支出</w:t>
            </w:r>
          </w:p>
        </w:tc>
        <w:tc>
          <w:tcPr>
            <w:tcW w:w="1953" w:type="dxa"/>
            <w:vMerge w:val="restart"/>
            <w:tcBorders>
              <w:top w:val="single" w:color="auto" w:sz="8" w:space="0"/>
              <w:left w:val="single" w:color="auto"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年末结转和结余</w:t>
            </w:r>
          </w:p>
        </w:tc>
        <w:tc>
          <w:tcPr>
            <w:tcW w:w="0" w:type="auto"/>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CellMar>
            <w:top w:w="0" w:type="dxa"/>
            <w:left w:w="0" w:type="dxa"/>
            <w:bottom w:w="0" w:type="dxa"/>
            <w:right w:w="0" w:type="dxa"/>
          </w:tblCellMar>
        </w:tblPrEx>
        <w:trPr>
          <w:trHeight w:val="540" w:hRule="atLeast"/>
        </w:trPr>
        <w:tc>
          <w:tcPr>
            <w:tcW w:w="109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功能分类科目编码</w:t>
            </w:r>
          </w:p>
        </w:tc>
        <w:tc>
          <w:tcPr>
            <w:tcW w:w="129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科目名称</w:t>
            </w:r>
          </w:p>
        </w:tc>
        <w:tc>
          <w:tcPr>
            <w:tcW w:w="1965" w:type="dxa"/>
            <w:vMerge w:val="continue"/>
            <w:tcBorders>
              <w:top w:val="single" w:color="auto" w:sz="8" w:space="0"/>
              <w:left w:val="nil"/>
              <w:bottom w:val="single" w:color="000000" w:sz="8" w:space="0"/>
              <w:right w:val="nil"/>
            </w:tcBorders>
            <w:shd w:val="clear"/>
            <w:tcMar>
              <w:left w:w="108" w:type="dxa"/>
              <w:right w:w="108" w:type="dxa"/>
            </w:tcMar>
            <w:vAlign w:val="center"/>
          </w:tcPr>
          <w:p>
            <w:pPr>
              <w:rPr>
                <w:rFonts w:hint="eastAsia" w:ascii="宋体"/>
                <w:sz w:val="24"/>
                <w:szCs w:val="24"/>
              </w:rPr>
            </w:pPr>
          </w:p>
        </w:tc>
        <w:tc>
          <w:tcPr>
            <w:tcW w:w="1965" w:type="dxa"/>
            <w:vMerge w:val="continue"/>
            <w:tcBorders>
              <w:top w:val="single" w:color="auto" w:sz="8" w:space="0"/>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965"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小计</w:t>
            </w:r>
          </w:p>
        </w:tc>
        <w:tc>
          <w:tcPr>
            <w:tcW w:w="1965"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基本支出 </w:t>
            </w:r>
          </w:p>
        </w:tc>
        <w:tc>
          <w:tcPr>
            <w:tcW w:w="1967" w:type="dxa"/>
            <w:vMerge w:val="restart"/>
            <w:tcBorders>
              <w:top w:val="nil"/>
              <w:left w:val="nil"/>
              <w:bottom w:val="single" w:color="000000"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项目支出</w:t>
            </w:r>
          </w:p>
        </w:tc>
        <w:tc>
          <w:tcPr>
            <w:tcW w:w="1953" w:type="dxa"/>
            <w:vMerge w:val="continue"/>
            <w:tcBorders>
              <w:top w:val="single" w:color="auto" w:sz="8" w:space="0"/>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0" w:type="auto"/>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CellMar>
            <w:top w:w="0" w:type="dxa"/>
            <w:left w:w="0" w:type="dxa"/>
            <w:bottom w:w="0" w:type="dxa"/>
            <w:right w:w="0" w:type="dxa"/>
          </w:tblCellMar>
        </w:tblPrEx>
        <w:trPr>
          <w:trHeight w:val="360" w:hRule="atLeast"/>
        </w:trPr>
        <w:tc>
          <w:tcPr>
            <w:tcW w:w="109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9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65" w:type="dxa"/>
            <w:vMerge w:val="continue"/>
            <w:tcBorders>
              <w:top w:val="single" w:color="auto" w:sz="8" w:space="0"/>
              <w:left w:val="nil"/>
              <w:bottom w:val="single" w:color="000000" w:sz="8" w:space="0"/>
              <w:right w:val="nil"/>
            </w:tcBorders>
            <w:shd w:val="clear"/>
            <w:tcMar>
              <w:left w:w="108" w:type="dxa"/>
              <w:right w:w="108" w:type="dxa"/>
            </w:tcMar>
            <w:vAlign w:val="center"/>
          </w:tcPr>
          <w:p>
            <w:pPr>
              <w:rPr>
                <w:rFonts w:hint="eastAsia" w:ascii="宋体"/>
                <w:sz w:val="24"/>
                <w:szCs w:val="24"/>
              </w:rPr>
            </w:pPr>
          </w:p>
        </w:tc>
        <w:tc>
          <w:tcPr>
            <w:tcW w:w="1965" w:type="dxa"/>
            <w:vMerge w:val="continue"/>
            <w:tcBorders>
              <w:top w:val="single" w:color="auto" w:sz="8" w:space="0"/>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965"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965"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967" w:type="dxa"/>
            <w:vMerge w:val="continue"/>
            <w:tcBorders>
              <w:top w:val="nil"/>
              <w:left w:val="nil"/>
              <w:bottom w:val="single" w:color="000000" w:sz="8" w:space="0"/>
              <w:right w:val="nil"/>
            </w:tcBorders>
            <w:shd w:val="clear"/>
            <w:tcMar>
              <w:left w:w="108" w:type="dxa"/>
              <w:right w:w="108" w:type="dxa"/>
            </w:tcMar>
            <w:vAlign w:val="center"/>
          </w:tcPr>
          <w:p>
            <w:pPr>
              <w:rPr>
                <w:rFonts w:hint="eastAsia" w:ascii="宋体"/>
                <w:sz w:val="24"/>
                <w:szCs w:val="24"/>
              </w:rPr>
            </w:pPr>
          </w:p>
        </w:tc>
        <w:tc>
          <w:tcPr>
            <w:tcW w:w="1953" w:type="dxa"/>
            <w:vMerge w:val="continue"/>
            <w:tcBorders>
              <w:top w:val="single" w:color="auto" w:sz="8" w:space="0"/>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0" w:type="auto"/>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CellMar>
            <w:top w:w="0" w:type="dxa"/>
            <w:left w:w="0" w:type="dxa"/>
            <w:bottom w:w="0" w:type="dxa"/>
            <w:right w:w="0" w:type="dxa"/>
          </w:tblCellMar>
        </w:tblPrEx>
        <w:trPr>
          <w:trHeight w:val="450" w:hRule="atLeast"/>
        </w:trPr>
        <w:tc>
          <w:tcPr>
            <w:tcW w:w="109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9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65" w:type="dxa"/>
            <w:vMerge w:val="continue"/>
            <w:tcBorders>
              <w:top w:val="single" w:color="auto" w:sz="8" w:space="0"/>
              <w:left w:val="nil"/>
              <w:bottom w:val="single" w:color="000000" w:sz="8" w:space="0"/>
              <w:right w:val="nil"/>
            </w:tcBorders>
            <w:shd w:val="clear"/>
            <w:tcMar>
              <w:left w:w="108" w:type="dxa"/>
              <w:right w:w="108" w:type="dxa"/>
            </w:tcMar>
            <w:vAlign w:val="center"/>
          </w:tcPr>
          <w:p>
            <w:pPr>
              <w:rPr>
                <w:rFonts w:hint="eastAsia" w:ascii="宋体"/>
                <w:sz w:val="24"/>
                <w:szCs w:val="24"/>
              </w:rPr>
            </w:pPr>
          </w:p>
        </w:tc>
        <w:tc>
          <w:tcPr>
            <w:tcW w:w="1965" w:type="dxa"/>
            <w:vMerge w:val="continue"/>
            <w:tcBorders>
              <w:top w:val="single" w:color="auto" w:sz="8" w:space="0"/>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965"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965"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967" w:type="dxa"/>
            <w:vMerge w:val="continue"/>
            <w:tcBorders>
              <w:top w:val="nil"/>
              <w:left w:val="nil"/>
              <w:bottom w:val="single" w:color="000000" w:sz="8" w:space="0"/>
              <w:right w:val="nil"/>
            </w:tcBorders>
            <w:shd w:val="clear"/>
            <w:tcMar>
              <w:left w:w="108" w:type="dxa"/>
              <w:right w:w="108" w:type="dxa"/>
            </w:tcMar>
            <w:vAlign w:val="center"/>
          </w:tcPr>
          <w:p>
            <w:pPr>
              <w:rPr>
                <w:rFonts w:hint="eastAsia" w:ascii="宋体"/>
                <w:sz w:val="24"/>
                <w:szCs w:val="24"/>
              </w:rPr>
            </w:pPr>
          </w:p>
        </w:tc>
        <w:tc>
          <w:tcPr>
            <w:tcW w:w="1953" w:type="dxa"/>
            <w:vMerge w:val="continue"/>
            <w:tcBorders>
              <w:top w:val="single" w:color="auto" w:sz="8" w:space="0"/>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0" w:type="auto"/>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CellMar>
            <w:top w:w="0" w:type="dxa"/>
            <w:left w:w="0" w:type="dxa"/>
            <w:bottom w:w="0" w:type="dxa"/>
            <w:right w:w="0" w:type="dxa"/>
          </w:tblCellMar>
        </w:tblPrEx>
        <w:trPr>
          <w:trHeight w:val="450" w:hRule="atLeast"/>
        </w:trPr>
        <w:tc>
          <w:tcPr>
            <w:tcW w:w="2394" w:type="dxa"/>
            <w:gridSpan w:val="2"/>
            <w:tcBorders>
              <w:top w:val="nil"/>
              <w:left w:val="single" w:color="auto"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栏次</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1</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2</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3</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4</w:t>
            </w:r>
          </w:p>
        </w:tc>
        <w:tc>
          <w:tcPr>
            <w:tcW w:w="1967" w:type="dxa"/>
            <w:tcBorders>
              <w:top w:val="nil"/>
              <w:left w:val="nil"/>
              <w:bottom w:val="single" w:color="auto"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5</w:t>
            </w:r>
          </w:p>
        </w:tc>
        <w:tc>
          <w:tcPr>
            <w:tcW w:w="195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6</w:t>
            </w:r>
          </w:p>
        </w:tc>
        <w:tc>
          <w:tcPr>
            <w:tcW w:w="0" w:type="auto"/>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CellMar>
            <w:top w:w="0" w:type="dxa"/>
            <w:left w:w="0" w:type="dxa"/>
            <w:bottom w:w="0" w:type="dxa"/>
            <w:right w:w="0" w:type="dxa"/>
          </w:tblCellMar>
        </w:tblPrEx>
        <w:trPr>
          <w:trHeight w:val="450" w:hRule="atLeast"/>
        </w:trPr>
        <w:tc>
          <w:tcPr>
            <w:tcW w:w="2394" w:type="dxa"/>
            <w:gridSpan w:val="2"/>
            <w:tcBorders>
              <w:top w:val="nil"/>
              <w:left w:val="single" w:color="auto"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合计</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0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0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0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0　</w:t>
            </w:r>
          </w:p>
        </w:tc>
        <w:tc>
          <w:tcPr>
            <w:tcW w:w="1967" w:type="dxa"/>
            <w:tcBorders>
              <w:top w:val="nil"/>
              <w:left w:val="nil"/>
              <w:bottom w:val="single" w:color="auto"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0　</w:t>
            </w:r>
          </w:p>
        </w:tc>
        <w:tc>
          <w:tcPr>
            <w:tcW w:w="195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0　</w:t>
            </w:r>
          </w:p>
        </w:tc>
        <w:tc>
          <w:tcPr>
            <w:tcW w:w="0" w:type="auto"/>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CellMar>
            <w:top w:w="0" w:type="dxa"/>
            <w:left w:w="0" w:type="dxa"/>
            <w:bottom w:w="0" w:type="dxa"/>
            <w:right w:w="0" w:type="dxa"/>
          </w:tblCellMar>
        </w:tblPrEx>
        <w:trPr>
          <w:trHeight w:val="450" w:hRule="atLeast"/>
        </w:trPr>
        <w:tc>
          <w:tcPr>
            <w:tcW w:w="10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类</w:t>
            </w:r>
          </w:p>
        </w:tc>
        <w:tc>
          <w:tcPr>
            <w:tcW w:w="12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7" w:type="dxa"/>
            <w:tcBorders>
              <w:top w:val="nil"/>
              <w:left w:val="nil"/>
              <w:bottom w:val="single" w:color="auto"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5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0" w:type="auto"/>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CellMar>
            <w:top w:w="0" w:type="dxa"/>
            <w:left w:w="0" w:type="dxa"/>
            <w:bottom w:w="0" w:type="dxa"/>
            <w:right w:w="0" w:type="dxa"/>
          </w:tblCellMar>
        </w:tblPrEx>
        <w:trPr>
          <w:trHeight w:val="450" w:hRule="atLeast"/>
        </w:trPr>
        <w:tc>
          <w:tcPr>
            <w:tcW w:w="10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款</w:t>
            </w:r>
          </w:p>
        </w:tc>
        <w:tc>
          <w:tcPr>
            <w:tcW w:w="12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7" w:type="dxa"/>
            <w:tcBorders>
              <w:top w:val="nil"/>
              <w:left w:val="nil"/>
              <w:bottom w:val="single" w:color="auto"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5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0" w:type="auto"/>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CellMar>
            <w:top w:w="0" w:type="dxa"/>
            <w:left w:w="0" w:type="dxa"/>
            <w:bottom w:w="0" w:type="dxa"/>
            <w:right w:w="0" w:type="dxa"/>
          </w:tblCellMar>
        </w:tblPrEx>
        <w:trPr>
          <w:trHeight w:val="450" w:hRule="atLeast"/>
        </w:trPr>
        <w:tc>
          <w:tcPr>
            <w:tcW w:w="10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项</w:t>
            </w:r>
          </w:p>
        </w:tc>
        <w:tc>
          <w:tcPr>
            <w:tcW w:w="12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7" w:type="dxa"/>
            <w:tcBorders>
              <w:top w:val="nil"/>
              <w:left w:val="nil"/>
              <w:bottom w:val="single" w:color="auto"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5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0" w:type="auto"/>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CellMar>
            <w:top w:w="0" w:type="dxa"/>
            <w:left w:w="0" w:type="dxa"/>
            <w:bottom w:w="0" w:type="dxa"/>
            <w:right w:w="0" w:type="dxa"/>
          </w:tblCellMar>
        </w:tblPrEx>
        <w:trPr>
          <w:trHeight w:val="450" w:hRule="atLeast"/>
        </w:trPr>
        <w:tc>
          <w:tcPr>
            <w:tcW w:w="10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2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7" w:type="dxa"/>
            <w:tcBorders>
              <w:top w:val="nil"/>
              <w:left w:val="nil"/>
              <w:bottom w:val="single" w:color="auto"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5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0" w:type="auto"/>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注：本表反映部门本年度政府性基金预算财政拨款收入支出及结转和结余情况。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广西建设职业技术学院没有政府性基金预算财政拨款收入，也没有政府性基金预算财政拨款安排的支出，故本表无数据。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bookmarkStart w:id="1" w:name="_GoBack"/>
      <w:bookmarkEnd w:id="1"/>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36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第三部分：</w:t>
      </w:r>
      <w:r>
        <w:rPr>
          <w:rFonts w:hint="default" w:ascii="仿宋_GB2312" w:hAnsi="宋体" w:eastAsia="仿宋_GB2312" w:cs="仿宋_GB2312"/>
          <w:b/>
          <w:bCs/>
          <w:i w:val="0"/>
          <w:iCs w:val="0"/>
          <w:caps w:val="0"/>
          <w:color w:val="000000"/>
          <w:spacing w:val="0"/>
          <w:kern w:val="0"/>
          <w:sz w:val="32"/>
          <w:szCs w:val="32"/>
          <w:bdr w:val="none" w:color="auto" w:sz="0" w:space="0"/>
          <w:shd w:val="clear" w:fill="EFEFEF"/>
          <w:lang w:val="en-US" w:eastAsia="zh-CN" w:bidi="ar"/>
        </w:rPr>
        <w:t>广西建设职业技术学院</w:t>
      </w: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2016年度部门决算情况说明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一、2016年度收入支出决算总体情况。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（一）收入总计42754.06万元。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1.财政拨款收入24414.15万元，为自治区本级财政当年拨付的资金，其中获得旧校区土地处置收入9956.32万元。。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2.事业收入9570.41万元，为学院收取的学费及住宿费等收入。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3.经营收入0万，为事业单位在业务活动之外开展非独立核算经营活动取得的收入。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4.其他收入1638.44万元，为预算单位在“财政拨款收入”、“事业收入”、“经营收入”之外取得的收入，主要包括非强制性培训费收入及铺面租金收入等。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5.用事业基金弥补收支差额0万元，主要是所属事业单位在当年的“财政拨款收入”、“事业收入”、“经营收入”及“其他收入”不能保证其支出的情况下，使用以前年度积累的事业基金（事业单位当年收入和支出相抵后按国家规定提取，用于弥补以后年度收支差额的基金）弥补本年度收支缺口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6.上年结转和结余7131.06万元，为以前年度支出预算因客观条件变化未执行完毕、结转到本年度按有关规定继续使用的资金，既包括财政拨款结转和结余，也包括事业收入、经营收入、其他收入的结转和结余。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36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   （二）支出总计42754.06万元。包括：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1．教育支出（类）39788.75万元：主要用于我院职业教育相关成本支出。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2．社会保障和就业（类）</w:t>
      </w:r>
      <w:r>
        <w:rPr>
          <w:rFonts w:hint="eastAsia" w:ascii="宋体" w:hAnsi="宋体" w:eastAsia="宋体" w:cs="宋体"/>
          <w:i w:val="0"/>
          <w:iCs w:val="0"/>
          <w:caps w:val="0"/>
          <w:color w:val="333333"/>
          <w:spacing w:val="0"/>
          <w:kern w:val="0"/>
          <w:sz w:val="32"/>
          <w:szCs w:val="32"/>
          <w:bdr w:val="none" w:color="auto" w:sz="0" w:space="0"/>
          <w:shd w:val="clear" w:fill="EFEFEF"/>
          <w:lang w:val="en-US" w:eastAsia="zh-CN" w:bidi="ar"/>
        </w:rPr>
        <w:t>4.09</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万元：主要死亡抚恤</w:t>
      </w:r>
      <w:r>
        <w:rPr>
          <w:rFonts w:hint="default" w:ascii="仿宋_GB2312" w:hAnsi="宋体" w:eastAsia="仿宋_GB2312" w:cs="仿宋_GB2312"/>
          <w:i w:val="0"/>
          <w:iCs w:val="0"/>
          <w:caps w:val="0"/>
          <w:color w:val="000000"/>
          <w:spacing w:val="0"/>
          <w:kern w:val="0"/>
          <w:sz w:val="32"/>
          <w:szCs w:val="32"/>
          <w:bdr w:val="none" w:color="auto" w:sz="0" w:space="0"/>
          <w:shd w:val="clear" w:fill="EFEFEF"/>
          <w:lang w:val="en-US" w:eastAsia="zh-CN" w:bidi="ar"/>
        </w:rPr>
        <w:t>金</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支出4.09万元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3．医疗卫生与计划生育支出（类）95.11万元：主要用于我院教职工的医疗保险等支出。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4．节能环保支出（类）10.15万元：主要用于建筑节能环保方面支出。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5．住房保障支出（类）</w:t>
      </w:r>
      <w:r>
        <w:rPr>
          <w:rFonts w:hint="eastAsia" w:ascii="宋体" w:hAnsi="宋体" w:eastAsia="宋体" w:cs="宋体"/>
          <w:i w:val="0"/>
          <w:iCs w:val="0"/>
          <w:caps w:val="0"/>
          <w:color w:val="333333"/>
          <w:spacing w:val="0"/>
          <w:kern w:val="0"/>
          <w:sz w:val="32"/>
          <w:szCs w:val="32"/>
          <w:bdr w:val="none" w:color="auto" w:sz="0" w:space="0"/>
          <w:shd w:val="clear" w:fill="EFEFEF"/>
          <w:lang w:val="en-US" w:eastAsia="zh-CN" w:bidi="ar"/>
        </w:rPr>
        <w:t>142.67</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万元：主要用于按照国家政策规定为职工缴纳的住房公积金的支出。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6．城乡社区事务（类）56万元：主要用于广西建设职业技能岗位鉴定总站相关费用。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7．结余分配339.29万元：为</w:t>
      </w:r>
      <w:r>
        <w:rPr>
          <w:rFonts w:hint="default" w:ascii="仿宋_GB2312" w:hAnsi="宋体" w:eastAsia="仿宋_GB2312" w:cs="仿宋_GB2312"/>
          <w:i w:val="0"/>
          <w:iCs w:val="0"/>
          <w:caps w:val="0"/>
          <w:color w:val="333333"/>
          <w:spacing w:val="0"/>
          <w:kern w:val="0"/>
          <w:sz w:val="28"/>
          <w:szCs w:val="28"/>
          <w:bdr w:val="none" w:color="auto" w:sz="0" w:space="0"/>
          <w:shd w:val="clear" w:fill="EFEFEF"/>
          <w:lang w:val="en-US" w:eastAsia="zh-CN" w:bidi="ar"/>
        </w:rPr>
        <w:t>当年按学费提取的学生5%助学金专用基金结余。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8．年末结转和结余</w:t>
      </w:r>
      <w:r>
        <w:rPr>
          <w:rFonts w:hint="eastAsia" w:ascii="宋体" w:hAnsi="宋体" w:eastAsia="宋体" w:cs="宋体"/>
          <w:i w:val="0"/>
          <w:iCs w:val="0"/>
          <w:caps w:val="0"/>
          <w:color w:val="333333"/>
          <w:spacing w:val="0"/>
          <w:kern w:val="0"/>
          <w:sz w:val="32"/>
          <w:szCs w:val="32"/>
          <w:bdr w:val="none" w:color="auto" w:sz="0" w:space="0"/>
          <w:shd w:val="clear" w:fill="EFEFEF"/>
          <w:lang w:val="en-US" w:eastAsia="zh-CN" w:bidi="ar"/>
        </w:rPr>
        <w:t>2318</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万元，为本年度或以前年度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36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预算安排、因客观条件发生变化无法按原计划实施，需要延迟到以后年度按有关规定继续使用的资金，既包括财政拨款结转和结余，也包括事业收入、经营收入、其他收入的结转和结余。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二、2016 年度一般公共预算支出决算情况。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广西建设职业技术学院2016 年度一般公共预算支出     23782.51万元，其中：基本支出2944.32万元，项目支出    20838.19万元。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1．</w:t>
      </w:r>
      <w:r>
        <w:rPr>
          <w:rFonts w:hint="default" w:ascii="仿宋_GB2312" w:hAnsi="宋体" w:eastAsia="仿宋_GB2312" w:cs="仿宋_GB2312"/>
          <w:i w:val="0"/>
          <w:iCs w:val="0"/>
          <w:caps w:val="0"/>
          <w:color w:val="000000"/>
          <w:spacing w:val="0"/>
          <w:kern w:val="0"/>
          <w:sz w:val="32"/>
          <w:szCs w:val="32"/>
          <w:bdr w:val="none" w:color="auto" w:sz="0" w:space="0"/>
          <w:shd w:val="clear" w:fill="EFEFEF"/>
          <w:lang w:val="en-US" w:eastAsia="zh-CN" w:bidi="ar"/>
        </w:rPr>
        <w:t>高等教育（按功能分类项级）</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支出1193.74万元: 主要是年中追加的教育科研项目及国家奖助学金等支出。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2．</w:t>
      </w:r>
      <w:r>
        <w:rPr>
          <w:rFonts w:hint="default" w:ascii="仿宋_GB2312" w:hAnsi="宋体" w:eastAsia="仿宋_GB2312" w:cs="仿宋_GB2312"/>
          <w:i w:val="0"/>
          <w:iCs w:val="0"/>
          <w:caps w:val="0"/>
          <w:color w:val="000000"/>
          <w:spacing w:val="0"/>
          <w:kern w:val="0"/>
          <w:sz w:val="32"/>
          <w:szCs w:val="32"/>
          <w:bdr w:val="none" w:color="auto" w:sz="0" w:space="0"/>
          <w:shd w:val="clear" w:fill="EFEFEF"/>
          <w:lang w:val="en-US" w:eastAsia="zh-CN" w:bidi="ar"/>
        </w:rPr>
        <w:t>中专教育（按功能分类项级）</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支出8.9万元: 主要是科研课题经费支出。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3．</w:t>
      </w:r>
      <w:r>
        <w:rPr>
          <w:rFonts w:hint="default" w:ascii="仿宋_GB2312" w:hAnsi="宋体" w:eastAsia="仿宋_GB2312" w:cs="仿宋_GB2312"/>
          <w:i w:val="0"/>
          <w:iCs w:val="0"/>
          <w:caps w:val="0"/>
          <w:color w:val="000000"/>
          <w:spacing w:val="0"/>
          <w:kern w:val="0"/>
          <w:sz w:val="32"/>
          <w:szCs w:val="32"/>
          <w:bdr w:val="none" w:color="auto" w:sz="0" w:space="0"/>
          <w:shd w:val="clear" w:fill="EFEFEF"/>
          <w:lang w:val="en-US" w:eastAsia="zh-CN" w:bidi="ar"/>
        </w:rPr>
        <w:t>高等职业教育（按功能分类项级）</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支出</w:t>
      </w:r>
      <w:r>
        <w:rPr>
          <w:rFonts w:hint="default" w:ascii="仿宋_GB2312" w:hAnsi="宋体" w:eastAsia="仿宋_GB2312" w:cs="仿宋_GB2312"/>
          <w:i w:val="0"/>
          <w:iCs w:val="0"/>
          <w:caps w:val="0"/>
          <w:color w:val="000000"/>
          <w:spacing w:val="0"/>
          <w:kern w:val="0"/>
          <w:sz w:val="32"/>
          <w:szCs w:val="32"/>
          <w:bdr w:val="none" w:color="auto" w:sz="0" w:space="0"/>
          <w:shd w:val="clear" w:fill="EFEFEF"/>
          <w:lang w:val="en-US" w:eastAsia="zh-CN" w:bidi="ar"/>
        </w:rPr>
        <w:t>22271.85</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万元:主要是财政拨付的人员基本工资、定额日常公用经费以及旧校区土地处置收入9956.32万元用于新校区建设支出等。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4．死亡抚恤</w:t>
      </w:r>
      <w:r>
        <w:rPr>
          <w:rFonts w:hint="default" w:ascii="仿宋_GB2312" w:hAnsi="宋体" w:eastAsia="仿宋_GB2312" w:cs="仿宋_GB2312"/>
          <w:i w:val="0"/>
          <w:iCs w:val="0"/>
          <w:caps w:val="0"/>
          <w:color w:val="000000"/>
          <w:spacing w:val="0"/>
          <w:kern w:val="0"/>
          <w:sz w:val="32"/>
          <w:szCs w:val="32"/>
          <w:bdr w:val="none" w:color="auto" w:sz="0" w:space="0"/>
          <w:shd w:val="clear" w:fill="EFEFEF"/>
          <w:lang w:val="en-US" w:eastAsia="zh-CN" w:bidi="ar"/>
        </w:rPr>
        <w:t>（按功能分类项级）</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支出4.09万元：主要用于学院教职工抚恤金支出。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5．事业单位医疗</w:t>
      </w:r>
      <w:r>
        <w:rPr>
          <w:rFonts w:hint="default" w:ascii="仿宋_GB2312" w:hAnsi="宋体" w:eastAsia="仿宋_GB2312" w:cs="仿宋_GB2312"/>
          <w:i w:val="0"/>
          <w:iCs w:val="0"/>
          <w:caps w:val="0"/>
          <w:color w:val="000000"/>
          <w:spacing w:val="0"/>
          <w:kern w:val="0"/>
          <w:sz w:val="32"/>
          <w:szCs w:val="32"/>
          <w:bdr w:val="none" w:color="auto" w:sz="0" w:space="0"/>
          <w:shd w:val="clear" w:fill="EFEFEF"/>
          <w:lang w:val="en-US" w:eastAsia="zh-CN" w:bidi="ar"/>
        </w:rPr>
        <w:t>（按功能分类项级）</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支出95.11万元：主要用于我院教职工的医疗保险支出。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6．可再生能源</w:t>
      </w:r>
      <w:r>
        <w:rPr>
          <w:rFonts w:hint="default" w:ascii="仿宋_GB2312" w:hAnsi="宋体" w:eastAsia="仿宋_GB2312" w:cs="仿宋_GB2312"/>
          <w:i w:val="0"/>
          <w:iCs w:val="0"/>
          <w:caps w:val="0"/>
          <w:color w:val="000000"/>
          <w:spacing w:val="0"/>
          <w:kern w:val="0"/>
          <w:sz w:val="32"/>
          <w:szCs w:val="32"/>
          <w:bdr w:val="none" w:color="auto" w:sz="0" w:space="0"/>
          <w:shd w:val="clear" w:fill="EFEFEF"/>
          <w:lang w:val="en-US" w:eastAsia="zh-CN" w:bidi="ar"/>
        </w:rPr>
        <w:t>（按功能分类项级）</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支出10.15万元：主要用于建筑节能环保方面支出。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7．住房公积金</w:t>
      </w:r>
      <w:r>
        <w:rPr>
          <w:rFonts w:hint="default" w:ascii="仿宋_GB2312" w:hAnsi="宋体" w:eastAsia="仿宋_GB2312" w:cs="仿宋_GB2312"/>
          <w:i w:val="0"/>
          <w:iCs w:val="0"/>
          <w:caps w:val="0"/>
          <w:color w:val="000000"/>
          <w:spacing w:val="0"/>
          <w:kern w:val="0"/>
          <w:sz w:val="32"/>
          <w:szCs w:val="32"/>
          <w:bdr w:val="none" w:color="auto" w:sz="0" w:space="0"/>
          <w:shd w:val="clear" w:fill="EFEFEF"/>
          <w:lang w:val="en-US" w:eastAsia="zh-CN" w:bidi="ar"/>
        </w:rPr>
        <w:t>（按功能分类项级）</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支出</w:t>
      </w:r>
      <w:r>
        <w:rPr>
          <w:rFonts w:hint="eastAsia" w:ascii="宋体" w:hAnsi="宋体" w:eastAsia="宋体" w:cs="宋体"/>
          <w:i w:val="0"/>
          <w:iCs w:val="0"/>
          <w:caps w:val="0"/>
          <w:color w:val="333333"/>
          <w:spacing w:val="0"/>
          <w:kern w:val="0"/>
          <w:sz w:val="32"/>
          <w:szCs w:val="32"/>
          <w:bdr w:val="none" w:color="auto" w:sz="0" w:space="0"/>
          <w:shd w:val="clear" w:fill="EFEFEF"/>
          <w:lang w:val="en-US" w:eastAsia="zh-CN" w:bidi="ar"/>
        </w:rPr>
        <w:t>142.67</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万元：主要用于按照国家政策规定为职工缴纳的住房公积金支出。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8．其他城乡社区</w:t>
      </w:r>
      <w:r>
        <w:rPr>
          <w:rFonts w:hint="default" w:ascii="仿宋_GB2312" w:hAnsi="宋体" w:eastAsia="仿宋_GB2312" w:cs="仿宋_GB2312"/>
          <w:i w:val="0"/>
          <w:iCs w:val="0"/>
          <w:caps w:val="0"/>
          <w:color w:val="000000"/>
          <w:spacing w:val="0"/>
          <w:kern w:val="0"/>
          <w:sz w:val="32"/>
          <w:szCs w:val="32"/>
          <w:bdr w:val="none" w:color="auto" w:sz="0" w:space="0"/>
          <w:shd w:val="clear" w:fill="EFEFEF"/>
          <w:lang w:val="en-US" w:eastAsia="zh-CN" w:bidi="ar"/>
        </w:rPr>
        <w:t>（按</w:t>
      </w:r>
      <w:bookmarkStart w:id="0" w:name="_GoBack"/>
      <w:bookmarkEnd w:id="0"/>
      <w:r>
        <w:rPr>
          <w:rFonts w:hint="default" w:ascii="仿宋_GB2312" w:hAnsi="宋体" w:eastAsia="仿宋_GB2312" w:cs="仿宋_GB2312"/>
          <w:i w:val="0"/>
          <w:iCs w:val="0"/>
          <w:caps w:val="0"/>
          <w:color w:val="000000"/>
          <w:spacing w:val="0"/>
          <w:kern w:val="0"/>
          <w:sz w:val="32"/>
          <w:szCs w:val="32"/>
          <w:bdr w:val="none" w:color="auto" w:sz="0" w:space="0"/>
          <w:shd w:val="clear" w:fill="EFEFEF"/>
          <w:lang w:val="en-US" w:eastAsia="zh-CN" w:bidi="ar"/>
        </w:rPr>
        <w:t>功能分类项级）</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支出56万元：主要用于广西建设职业技能岗位鉴定总站相关费用支出。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三、2016年度政府性基金支出决算情况</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000000"/>
          <w:spacing w:val="0"/>
          <w:kern w:val="0"/>
          <w:sz w:val="32"/>
          <w:szCs w:val="32"/>
          <w:bdr w:val="none" w:color="auto" w:sz="0" w:space="0"/>
          <w:shd w:val="clear" w:fill="EFEFEF"/>
          <w:lang w:val="en-US" w:eastAsia="zh-CN" w:bidi="ar"/>
        </w:rPr>
        <w:t>广西建设职业技术学院</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2016年度政府性基金支出0万元，其中：基本支出0万元，项目支出0万元。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四、2016年度一般公共预算财政拨款基本支出决算情况说明。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2016年度一般公共预算财政拨款基本支出2944.32万元，其中：人员经费1816.51万元，主要包括：基本工资1,253.50万元、津贴补贴0.01万元、其他社会保障缴费121.90万元、离休费18.45万元、退休费234.43万元、生活补助0.68万元、住房公积金140.66万元、其他对个人和家庭的补助支出46.88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公用经费1127.81万元，主要包括：办公费15.23、印刷费4.25万元、水费174.51万元、电费165.44万元、邮电费17.13万元、物业管理费422.83万元、差旅费28.83万元、维修(护)费110.22万元、专用材料费44.66万元、工会经费23.44万元、其他商品和服务支出121.29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五、一般公共预算财政拨款安排的“三公”经费支出决算情况说明。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2016年度一般公共预算财政拨款安排的“三公”经费支出决算中，因公出国（境）费支出决算0万元；公务用车购置及运行费支出决算2.64万元；公务接待费支出决算1.98万元。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具体情况如下：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（一）因公出国（境）费支出0万元。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（二）公务用车购置及运行费支出2.64万元。其中：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公务用车运行支出2.64万元。主要用于广西建设职业技能岗位鉴定总站开展业务所需车辆燃料费、维修费、过路过桥费、保险费等支出。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（三）公务接待费支出1.98万元,接待批次1次，接待人数约为1100人，是接待广西高职院校技能大赛暨全国职业院校技能大赛测绘测量项目广西选拨赛参赛人员工作餐费。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48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（四）2016年度一般公共预算财政拨款安排的“三公“经费支出数为4.62万元，年初预算数为13.3万元。由于我院严格执行“八项规定”，严控“三公”经费的开支，我院2016年的</w:t>
      </w:r>
      <w:r>
        <w:rPr>
          <w:rFonts w:hint="eastAsia" w:ascii="宋体" w:hAnsi="宋体" w:eastAsia="宋体" w:cs="宋体"/>
          <w:i w:val="0"/>
          <w:iCs w:val="0"/>
          <w:caps w:val="0"/>
          <w:color w:val="333333"/>
          <w:spacing w:val="0"/>
          <w:kern w:val="0"/>
          <w:sz w:val="32"/>
          <w:szCs w:val="32"/>
          <w:bdr w:val="none" w:color="auto" w:sz="0" w:space="0"/>
          <w:shd w:val="clear" w:fill="EFEFEF"/>
          <w:lang w:val="en-US" w:eastAsia="zh-CN" w:bidi="ar"/>
        </w:rPr>
        <w:t>“</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三公</w:t>
      </w:r>
      <w:r>
        <w:rPr>
          <w:rFonts w:hint="eastAsia" w:ascii="宋体" w:hAnsi="宋体" w:eastAsia="宋体" w:cs="宋体"/>
          <w:i w:val="0"/>
          <w:iCs w:val="0"/>
          <w:caps w:val="0"/>
          <w:color w:val="333333"/>
          <w:spacing w:val="0"/>
          <w:kern w:val="0"/>
          <w:sz w:val="32"/>
          <w:szCs w:val="32"/>
          <w:bdr w:val="none" w:color="auto" w:sz="0" w:space="0"/>
          <w:shd w:val="clear" w:fill="EFEFEF"/>
          <w:lang w:val="en-US" w:eastAsia="zh-CN" w:bidi="ar"/>
        </w:rPr>
        <w:t>”</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经费支出比上年及今年年初预算都有较大幅度的下降。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8"/>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六、其他重要事项情况说明。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（一） 机关运行经费支出情况说明。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学院属于事业单位，2016年机关运行经费支出0万元。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（二）政府采购支出情况说明。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2016年本部门政府采购支出总额11782.81万元，其中：政府采购货物支出2198.50万元、政府采购工程支出9379.52万元、政府采购服务支出204.79万元（口径参见部门决算CS06表《政府采购情况表》。授予中小企业合同金额3123.38万元，占政府采购支出总额的26.51%，其中：授予小微企业合同金额2402.53万元，占政府采购支出总额的20.39%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（三）国有资产占用情况说明。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截至2016年12月31日，学院共有车辆9辆，一般公务用车9辆；主要是满足学校日常办学用车需要；单位价值50万元以上通用设备0台（套），100万元以上专用设备0台（套）。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360"/>
        <w:jc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360"/>
        <w:jc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一、财政拨款收入：指自治区财政部门当年拨付的资金。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二、事业收入：指事业单位开展专业业务活动及辅助活动所取得的收入。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三、经营收入：指事业单位在专业业务活动及其辅助活动之外开展非独立核算经营活动取得的收入。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四、其他收入：指除上述“财政拨款收入”、“事业收入”、“经营收入”等以外的收入。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六、年初结转和结余：指以前年度尚未完成、结转到本年按有关规定继续使用的资金。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七、结余分配：指事业单位按规定提取的职工福利基金、事业基金和缴纳的所得税，以及建设单位按规定应交回的基本建设竣工项目结余资金。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八、年末结转和结余：指本年度或以前年度预算安排、因客观条件发生变化无法按原计划实施，需要延迟到以后年度按有关规定继续使用的资金。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九、基本支出：指为保障机构正常运转、完成日常工作任务而发生的人员支出和公用支出。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十、项目支出：指在基本支出之外为完成特定行政任务和事业发展目标所发生的支出。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十一、经营支出：指事业单位在专业业务活动及其辅助活动之外开展非独立核算经营活动发生的支出。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6838" w:h="11906" w:orient="landscape"/>
      <w:pgMar w:top="1134" w:right="141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UnicodeM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宋体-方正超大字符集"/>
    <w:panose1 w:val="00000000000000000000"/>
    <w:charset w:val="00"/>
    <w:family w:val="auto"/>
    <w:pitch w:val="default"/>
    <w:sig w:usb0="00000000" w:usb1="00000000" w:usb2="00000000" w:usb3="00000000" w:csb0="00000000" w:csb1="00000000"/>
  </w:font>
  <w:font w:name="宋体-方正超大字符集">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C58A5"/>
    <w:rsid w:val="57CC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2021-05-21T03:03:00Z</dcterms:created>
  <dc:creator>邓彩英</dc:creator>
  <cp:lastModifiedBy>邓彩英</cp:lastModifiedBy>
  <dcterms:modified xsi:type="dcterms:W3CDTF">2021-05-21T03:09:15Z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9D0FCABDC8D342A389B195341DF40943</vt:lpwstr>
  </property>
</Properties>
</file>